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27F3">
      <w:pPr>
        <w:spacing w:line="800" w:lineRule="exact"/>
        <w:ind w:right="-33"/>
        <w:rPr>
          <w:rFonts w:hint="eastAsia" w:ascii="黑体" w:hAnsi="黑体" w:eastAsia="黑体" w:cs="黑体"/>
          <w:b/>
          <w:w w:val="90"/>
          <w:kern w:val="52"/>
          <w:sz w:val="68"/>
          <w:szCs w:val="68"/>
        </w:rPr>
      </w:pPr>
    </w:p>
    <w:p w14:paraId="015B7448">
      <w:pPr>
        <w:spacing w:line="800" w:lineRule="exact"/>
        <w:ind w:right="-33"/>
        <w:rPr>
          <w:rFonts w:hint="eastAsia" w:ascii="黑体" w:hAnsi="黑体" w:eastAsia="黑体" w:cs="黑体"/>
          <w:b/>
          <w:w w:val="90"/>
          <w:kern w:val="52"/>
          <w:sz w:val="68"/>
          <w:szCs w:val="68"/>
        </w:rPr>
      </w:pPr>
    </w:p>
    <w:p w14:paraId="334DC0C1">
      <w:pPr>
        <w:spacing w:line="800" w:lineRule="exact"/>
        <w:ind w:right="-33"/>
        <w:rPr>
          <w:rFonts w:hint="eastAsia"/>
          <w:sz w:val="68"/>
          <w:szCs w:val="68"/>
        </w:rPr>
      </w:pPr>
    </w:p>
    <w:p w14:paraId="0A1D5549">
      <w:pPr>
        <w:spacing w:line="800" w:lineRule="exact"/>
        <w:ind w:right="-33"/>
        <w:rPr>
          <w:rFonts w:hint="eastAsia"/>
          <w:sz w:val="56"/>
          <w:szCs w:val="56"/>
        </w:rPr>
      </w:pPr>
    </w:p>
    <w:p w14:paraId="363896ED">
      <w:pPr>
        <w:spacing w:line="288" w:lineRule="auto"/>
        <w:ind w:right="-163"/>
        <w:jc w:val="center"/>
        <w:rPr>
          <w:rFonts w:hint="eastAsia" w:ascii="黑体" w:hAnsi="黑体" w:eastAsia="黑体" w:cs="黑体"/>
          <w:b/>
          <w:w w:val="90"/>
          <w:kern w:val="52"/>
          <w:sz w:val="56"/>
          <w:szCs w:val="56"/>
          <w:lang w:val="en-US" w:eastAsia="zh-CN"/>
        </w:rPr>
      </w:pPr>
      <w:r>
        <w:rPr>
          <w:rFonts w:hint="eastAsia" w:ascii="黑体" w:hAnsi="黑体" w:eastAsia="黑体" w:cs="黑体"/>
          <w:b/>
          <w:w w:val="90"/>
          <w:kern w:val="52"/>
          <w:sz w:val="56"/>
          <w:szCs w:val="56"/>
          <w:lang w:val="en-US" w:eastAsia="zh-CN"/>
        </w:rPr>
        <w:t>张家口霖辉物业管理集团有限公司</w:t>
      </w:r>
    </w:p>
    <w:p w14:paraId="193AB34B">
      <w:pPr>
        <w:spacing w:line="288" w:lineRule="auto"/>
        <w:ind w:right="-163"/>
        <w:jc w:val="center"/>
        <w:rPr>
          <w:rFonts w:hint="default" w:ascii="楷体" w:hAnsi="楷体" w:eastAsia="楷体" w:cs="楷体_GB2312"/>
          <w:b/>
          <w:w w:val="90"/>
          <w:kern w:val="52"/>
          <w:sz w:val="56"/>
          <w:szCs w:val="56"/>
          <w:lang w:val="en-US" w:eastAsia="zh-CN"/>
        </w:rPr>
      </w:pPr>
      <w:r>
        <w:rPr>
          <w:rFonts w:hint="eastAsia" w:ascii="黑体" w:hAnsi="黑体" w:eastAsia="黑体" w:cs="黑体"/>
          <w:b/>
          <w:w w:val="90"/>
          <w:kern w:val="52"/>
          <w:sz w:val="56"/>
          <w:szCs w:val="56"/>
          <w:lang w:val="en-US" w:eastAsia="zh-CN"/>
        </w:rPr>
        <w:t>张家口产业投资控股集团有限公司保洁服务项目</w:t>
      </w:r>
    </w:p>
    <w:p w14:paraId="7CCFA999">
      <w:pPr>
        <w:pStyle w:val="6"/>
        <w:spacing w:line="288" w:lineRule="auto"/>
        <w:outlineLvl w:val="9"/>
        <w:rPr>
          <w:rFonts w:hint="eastAsia" w:ascii="楷体" w:hAnsi="楷体" w:eastAsia="楷体" w:cs="楷体_GB2312"/>
          <w:sz w:val="56"/>
          <w:szCs w:val="56"/>
        </w:rPr>
      </w:pPr>
    </w:p>
    <w:p w14:paraId="46A386FD">
      <w:pPr>
        <w:pStyle w:val="6"/>
        <w:spacing w:line="288" w:lineRule="auto"/>
        <w:outlineLvl w:val="9"/>
        <w:rPr>
          <w:rFonts w:hint="eastAsia" w:ascii="楷体" w:hAnsi="楷体" w:eastAsia="楷体" w:cs="楷体_GB2312"/>
          <w:sz w:val="56"/>
          <w:szCs w:val="56"/>
        </w:rPr>
      </w:pPr>
    </w:p>
    <w:p w14:paraId="0D7EBF36">
      <w:pPr>
        <w:pStyle w:val="6"/>
        <w:tabs>
          <w:tab w:val="left" w:pos="900"/>
          <w:tab w:val="clear" w:pos="562"/>
          <w:tab w:val="clear" w:pos="3372"/>
          <w:tab w:val="clear" w:pos="3653"/>
        </w:tabs>
        <w:spacing w:line="288" w:lineRule="auto"/>
        <w:jc w:val="center"/>
        <w:outlineLvl w:val="0"/>
        <w:rPr>
          <w:rFonts w:hint="eastAsia" w:ascii="黑体" w:hAnsi="黑体" w:eastAsia="黑体" w:cs="黑体"/>
          <w:b/>
          <w:bCs/>
          <w:sz w:val="56"/>
          <w:szCs w:val="56"/>
        </w:rPr>
      </w:pPr>
      <w:r>
        <w:rPr>
          <w:rFonts w:hint="eastAsia" w:ascii="黑体" w:hAnsi="黑体" w:eastAsia="黑体" w:cs="黑体"/>
          <w:b/>
          <w:bCs/>
          <w:sz w:val="56"/>
          <w:szCs w:val="56"/>
        </w:rPr>
        <w:t>询比采购</w:t>
      </w:r>
      <w:bookmarkStart w:id="0" w:name="_Toc23807"/>
      <w:bookmarkStart w:id="1" w:name="_Toc31976"/>
      <w:bookmarkStart w:id="2" w:name="_Toc10192"/>
      <w:bookmarkStart w:id="3" w:name="_Toc16161"/>
      <w:bookmarkStart w:id="4" w:name="_Toc516235271"/>
      <w:bookmarkStart w:id="5" w:name="_Toc17339"/>
      <w:bookmarkStart w:id="6" w:name="_Toc27553"/>
      <w:bookmarkStart w:id="7" w:name="_Toc11733"/>
      <w:bookmarkStart w:id="8" w:name="_Toc19047"/>
      <w:bookmarkStart w:id="9" w:name="_Toc8189"/>
      <w:bookmarkStart w:id="10" w:name="_Toc11489"/>
      <w:bookmarkStart w:id="11" w:name="_Toc10990"/>
      <w:r>
        <w:rPr>
          <w:rFonts w:hint="eastAsia" w:ascii="黑体" w:hAnsi="黑体" w:eastAsia="黑体" w:cs="黑体"/>
          <w:b/>
          <w:bCs/>
          <w:sz w:val="56"/>
          <w:szCs w:val="56"/>
        </w:rPr>
        <w:t>文件</w:t>
      </w:r>
      <w:bookmarkEnd w:id="0"/>
      <w:bookmarkEnd w:id="1"/>
      <w:bookmarkEnd w:id="2"/>
      <w:bookmarkEnd w:id="3"/>
      <w:bookmarkEnd w:id="4"/>
      <w:bookmarkEnd w:id="5"/>
      <w:bookmarkEnd w:id="6"/>
      <w:bookmarkEnd w:id="7"/>
      <w:bookmarkEnd w:id="8"/>
      <w:bookmarkEnd w:id="9"/>
      <w:bookmarkEnd w:id="10"/>
      <w:bookmarkEnd w:id="11"/>
    </w:p>
    <w:p w14:paraId="07EC5C95">
      <w:pPr>
        <w:pStyle w:val="6"/>
        <w:spacing w:line="288" w:lineRule="auto"/>
        <w:jc w:val="center"/>
        <w:outlineLvl w:val="9"/>
        <w:rPr>
          <w:rFonts w:hint="eastAsia" w:ascii="黑体" w:hAnsi="黑体" w:eastAsia="黑体" w:cs="黑体"/>
          <w:b/>
          <w:bCs/>
          <w:sz w:val="30"/>
          <w:szCs w:val="30"/>
          <w:lang w:eastAsia="zh-CN"/>
        </w:rPr>
      </w:pPr>
    </w:p>
    <w:p w14:paraId="76541BCB">
      <w:pPr>
        <w:pStyle w:val="6"/>
        <w:spacing w:line="288" w:lineRule="auto"/>
        <w:outlineLvl w:val="9"/>
        <w:rPr>
          <w:rFonts w:hint="eastAsia" w:ascii="黑体" w:hAnsi="黑体" w:eastAsia="黑体" w:cs="黑体"/>
          <w:sz w:val="30"/>
          <w:szCs w:val="30"/>
        </w:rPr>
      </w:pPr>
    </w:p>
    <w:p w14:paraId="05C75075">
      <w:pPr>
        <w:pStyle w:val="6"/>
        <w:spacing w:line="288" w:lineRule="auto"/>
        <w:outlineLvl w:val="9"/>
        <w:rPr>
          <w:rFonts w:hint="eastAsia" w:ascii="黑体" w:hAnsi="黑体" w:eastAsia="黑体" w:cs="黑体"/>
          <w:sz w:val="30"/>
          <w:szCs w:val="30"/>
        </w:rPr>
      </w:pPr>
    </w:p>
    <w:p w14:paraId="3BD4FF49">
      <w:pPr>
        <w:pStyle w:val="6"/>
        <w:spacing w:line="288" w:lineRule="auto"/>
        <w:outlineLvl w:val="9"/>
        <w:rPr>
          <w:rFonts w:hint="eastAsia" w:ascii="黑体" w:hAnsi="黑体" w:eastAsia="黑体" w:cs="黑体"/>
          <w:sz w:val="30"/>
          <w:szCs w:val="30"/>
        </w:rPr>
      </w:pPr>
    </w:p>
    <w:p w14:paraId="097087CF">
      <w:pPr>
        <w:pStyle w:val="6"/>
        <w:spacing w:line="288" w:lineRule="auto"/>
        <w:outlineLvl w:val="9"/>
        <w:rPr>
          <w:rFonts w:hint="eastAsia" w:ascii="黑体" w:hAnsi="黑体" w:eastAsia="黑体" w:cs="黑体"/>
          <w:sz w:val="30"/>
          <w:szCs w:val="30"/>
        </w:rPr>
      </w:pPr>
    </w:p>
    <w:p w14:paraId="47BDD543">
      <w:pPr>
        <w:pStyle w:val="6"/>
        <w:spacing w:line="800" w:lineRule="exact"/>
        <w:outlineLvl w:val="9"/>
        <w:rPr>
          <w:rFonts w:hint="eastAsia" w:ascii="黑体" w:hAnsi="黑体" w:eastAsia="黑体" w:cs="黑体"/>
          <w:b/>
          <w:bCs/>
          <w:sz w:val="32"/>
          <w:szCs w:val="32"/>
        </w:rPr>
      </w:pPr>
      <w:bookmarkStart w:id="12" w:name="_Toc7426"/>
      <w:bookmarkStart w:id="13" w:name="_Toc26372"/>
      <w:bookmarkStart w:id="14" w:name="_Toc3374"/>
      <w:bookmarkStart w:id="15" w:name="_Toc24700"/>
      <w:bookmarkStart w:id="16" w:name="_Toc19294"/>
      <w:bookmarkStart w:id="17" w:name="_Toc516235273"/>
      <w:bookmarkStart w:id="18" w:name="_Toc25456"/>
      <w:bookmarkStart w:id="19" w:name="_Toc21566"/>
      <w:bookmarkStart w:id="20" w:name="_Toc19507"/>
      <w:bookmarkStart w:id="21" w:name="_Toc28497"/>
      <w:bookmarkStart w:id="22" w:name="_Toc3316"/>
      <w:bookmarkStart w:id="23" w:name="_Toc15976"/>
      <w:r>
        <w:rPr>
          <w:rFonts w:hint="eastAsia" w:ascii="黑体" w:hAnsi="黑体" w:eastAsia="黑体" w:cs="黑体"/>
          <w:b/>
          <w:bCs/>
          <w:sz w:val="32"/>
          <w:szCs w:val="32"/>
        </w:rPr>
        <w:t>采购单位：</w:t>
      </w:r>
      <w:bookmarkEnd w:id="12"/>
      <w:bookmarkEnd w:id="13"/>
      <w:bookmarkEnd w:id="14"/>
      <w:bookmarkEnd w:id="15"/>
      <w:bookmarkEnd w:id="16"/>
      <w:bookmarkEnd w:id="17"/>
      <w:bookmarkEnd w:id="18"/>
      <w:bookmarkEnd w:id="19"/>
      <w:bookmarkEnd w:id="20"/>
      <w:bookmarkEnd w:id="21"/>
      <w:bookmarkEnd w:id="22"/>
      <w:bookmarkEnd w:id="23"/>
      <w:r>
        <w:rPr>
          <w:rFonts w:hint="eastAsia" w:ascii="黑体" w:hAnsi="黑体" w:eastAsia="黑体" w:cs="黑体"/>
          <w:b/>
          <w:bCs/>
          <w:sz w:val="32"/>
          <w:szCs w:val="32"/>
          <w:lang w:val="en-US" w:eastAsia="zh-CN"/>
        </w:rPr>
        <w:t>张家口霖辉物业管理集团有限公司</w:t>
      </w:r>
    </w:p>
    <w:p w14:paraId="00FC3AE0">
      <w:pPr>
        <w:pStyle w:val="6"/>
        <w:spacing w:line="800" w:lineRule="exact"/>
        <w:outlineLvl w:val="9"/>
        <w:rPr>
          <w:rFonts w:hint="eastAsia" w:ascii="黑体" w:hAnsi="黑体" w:eastAsia="黑体" w:cs="黑体"/>
          <w:b/>
          <w:bCs/>
          <w:sz w:val="32"/>
          <w:szCs w:val="32"/>
        </w:rPr>
      </w:pPr>
      <w:bookmarkStart w:id="24" w:name="_Toc30236"/>
      <w:bookmarkStart w:id="25" w:name="_Toc28335"/>
      <w:bookmarkStart w:id="26" w:name="_Toc10996"/>
      <w:bookmarkStart w:id="27" w:name="_Toc2112"/>
      <w:bookmarkStart w:id="28" w:name="_Toc516235275"/>
      <w:bookmarkStart w:id="29" w:name="_Toc26166"/>
      <w:bookmarkStart w:id="30" w:name="_Toc20462"/>
      <w:bookmarkStart w:id="31" w:name="_Toc16456"/>
      <w:bookmarkStart w:id="32" w:name="_Toc11462"/>
      <w:bookmarkStart w:id="33" w:name="_Toc2171"/>
      <w:bookmarkStart w:id="34" w:name="_Toc22648"/>
      <w:bookmarkStart w:id="35" w:name="_Toc11538"/>
      <w:r>
        <w:rPr>
          <w:rFonts w:hint="eastAsia" w:ascii="黑体" w:hAnsi="黑体" w:eastAsia="黑体" w:cs="黑体"/>
          <w:b/>
          <w:bCs/>
          <w:sz w:val="32"/>
          <w:szCs w:val="32"/>
        </w:rPr>
        <w:t>编制日期：202</w:t>
      </w:r>
      <w:r>
        <w:rPr>
          <w:rFonts w:hint="eastAsia" w:ascii="黑体" w:hAnsi="黑体" w:eastAsia="黑体" w:cs="黑体"/>
          <w:b/>
          <w:bCs/>
          <w:sz w:val="32"/>
          <w:szCs w:val="32"/>
          <w:lang w:val="en-US" w:eastAsia="zh-CN"/>
        </w:rPr>
        <w:t>6</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1</w:t>
      </w:r>
      <w:r>
        <w:rPr>
          <w:rFonts w:hint="eastAsia" w:ascii="黑体" w:hAnsi="黑体" w:eastAsia="黑体" w:cs="黑体"/>
          <w:b/>
          <w:bCs/>
          <w:sz w:val="32"/>
          <w:szCs w:val="32"/>
        </w:rPr>
        <w:t>月</w:t>
      </w:r>
      <w:bookmarkEnd w:id="24"/>
      <w:bookmarkEnd w:id="25"/>
      <w:bookmarkEnd w:id="26"/>
      <w:bookmarkEnd w:id="27"/>
      <w:bookmarkEnd w:id="28"/>
      <w:bookmarkEnd w:id="29"/>
      <w:bookmarkEnd w:id="30"/>
      <w:bookmarkEnd w:id="31"/>
      <w:bookmarkEnd w:id="32"/>
      <w:bookmarkEnd w:id="33"/>
      <w:bookmarkEnd w:id="34"/>
      <w:bookmarkEnd w:id="35"/>
    </w:p>
    <w:p w14:paraId="1FF655B2">
      <w:pPr>
        <w:outlineLvl w:val="9"/>
        <w:rPr>
          <w:rFonts w:hint="eastAsia"/>
          <w:b w:val="0"/>
          <w:bCs w:val="0"/>
          <w:color w:val="000000"/>
        </w:rPr>
      </w:pPr>
      <w:r>
        <w:rPr>
          <w:rFonts w:hint="eastAsia"/>
          <w:b w:val="0"/>
          <w:bCs w:val="0"/>
          <w:color w:val="000000"/>
        </w:rPr>
        <w:br w:type="page"/>
      </w:r>
    </w:p>
    <w:p w14:paraId="4A211529">
      <w:pPr>
        <w:pStyle w:val="2"/>
        <w:spacing w:line="360" w:lineRule="exact"/>
        <w:rPr>
          <w:rFonts w:hint="eastAsia"/>
          <w:b w:val="0"/>
          <w:bCs w:val="0"/>
          <w:color w:val="000000"/>
        </w:rPr>
      </w:pPr>
      <w:r>
        <w:rPr>
          <w:rFonts w:hint="eastAsia"/>
          <w:b w:val="0"/>
          <w:bCs w:val="0"/>
          <w:color w:val="000000"/>
        </w:rPr>
        <w:t>第一部分</w:t>
      </w:r>
      <w:r>
        <w:rPr>
          <w:rFonts w:hint="eastAsia"/>
          <w:b w:val="0"/>
          <w:bCs w:val="0"/>
          <w:color w:val="000000"/>
          <w:lang w:val="en-US" w:eastAsia="zh-CN"/>
        </w:rPr>
        <w:t xml:space="preserve">  询比</w:t>
      </w:r>
      <w:r>
        <w:rPr>
          <w:rFonts w:hint="eastAsia"/>
          <w:b w:val="0"/>
          <w:bCs w:val="0"/>
          <w:color w:val="000000"/>
        </w:rPr>
        <w:t>邀请函</w:t>
      </w:r>
    </w:p>
    <w:p w14:paraId="6746092F">
      <w:pPr>
        <w:pStyle w:val="9"/>
        <w:spacing w:line="420" w:lineRule="exact"/>
        <w:rPr>
          <w:rFonts w:hint="eastAsia"/>
          <w:color w:val="000000"/>
        </w:rPr>
      </w:pPr>
    </w:p>
    <w:p w14:paraId="3D6376CB">
      <w:pPr>
        <w:pStyle w:val="2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一、项目名称：张家口产业投资控股集团有限公司综合服务服务项目</w:t>
      </w:r>
    </w:p>
    <w:p w14:paraId="31DF395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二、采购内容：本项目主要是保证张家口产业投资控股集团有限公司开展的物业保洁服务工作，内容包括综合服务、垃圾处理及清运、四害消杀、保洁服务。</w:t>
      </w:r>
    </w:p>
    <w:p w14:paraId="0188136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三、邀请询比采购文件编号：ctbjfw-01</w:t>
      </w:r>
    </w:p>
    <w:p w14:paraId="219E961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四、采购方式：询比采购</w:t>
      </w:r>
    </w:p>
    <w:p w14:paraId="73E03C5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五、服务地点：采购人指定地点</w:t>
      </w:r>
    </w:p>
    <w:p w14:paraId="4996C3F3">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六、询比文件发售时间</w:t>
      </w:r>
    </w:p>
    <w:p w14:paraId="1F8A42F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color w:val="FF00FF"/>
          <w:sz w:val="24"/>
          <w:szCs w:val="24"/>
          <w:highlight w:val="none"/>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16</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日（周六、周日除外）北京时间9：30-11：30，14：00-16：30。</w:t>
      </w:r>
    </w:p>
    <w:p w14:paraId="5E75A013">
      <w:pPr>
        <w:keepNext w:val="0"/>
        <w:keepLines w:val="0"/>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2.供应商资格要求：</w:t>
      </w:r>
    </w:p>
    <w:p w14:paraId="0BA8505A">
      <w:pPr>
        <w:pStyle w:val="5"/>
        <w:keepNext w:val="0"/>
        <w:keepLines w:val="0"/>
        <w:pageBreakBefore w:val="0"/>
        <w:kinsoku/>
        <w:wordWrap/>
        <w:overflowPunct/>
        <w:topLinePunct w:val="0"/>
        <w:bidi w:val="0"/>
        <w:snapToGrid w:val="0"/>
        <w:spacing w:line="560" w:lineRule="exact"/>
        <w:ind w:left="0" w:leftChars="0"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必须符合《中华人民共和国政府采购法》第二十二条的规定；（2）具有专业技术人员、设备、技术等方面相应的服务能力，具有良好的商业信誉；（3）有效的企业营业执照副本、税务登记证副本、组织机构代码证副本（三证合一或五证合一的企业只需提供具有统一社会信用代码独立法人的营业执照副本）；（4）银行开户许可证（或取消开户许可证的须提供基本存款账户银行备案资料）；（5）供应商参加本次政府采购活动前3年内无重大违法记录和政府采购严重违法失信行为的书面声明；（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7）单位负责人为同一人或者存在直接控股、管理关系的不同投标人，不得参加同一合同项下的政府采购活动；（8）本项目不接受联合体投标。</w:t>
      </w:r>
    </w:p>
    <w:p w14:paraId="77C2EE53">
      <w:pPr>
        <w:keepNext w:val="0"/>
        <w:keepLines w:val="0"/>
        <w:pageBreakBefore w:val="0"/>
        <w:kinsoku/>
        <w:wordWrap/>
        <w:overflowPunct/>
        <w:topLinePunct w:val="0"/>
        <w:bidi w:val="0"/>
        <w:spacing w:line="56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3.供应商报名要求：</w:t>
      </w:r>
    </w:p>
    <w:p w14:paraId="4B803A7E">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持有效合格的营业执照，税务登记证,组织机构代码证（三证合一或五证合一的企业只需提供具有统一社会信用代码独立法人的营业执照副本）；银行开户许可证；法定代表人报名须提供法定代表人身份证明书及本人身份证；非法定代表人报名须提供法定代表人身份证明书、授权委托书、本人身份证。</w:t>
      </w:r>
    </w:p>
    <w:p w14:paraId="453B8B66">
      <w:pPr>
        <w:keepNext w:val="0"/>
        <w:keepLines w:val="0"/>
        <w:pageBreakBefore w:val="0"/>
        <w:widowControl/>
        <w:kinsoku/>
        <w:wordWrap/>
        <w:overflowPunct/>
        <w:topLinePunct w:val="0"/>
        <w:bidi w:val="0"/>
        <w:spacing w:line="560" w:lineRule="exact"/>
        <w:ind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注：1、以上资料需携带原件和加盖公章的A4纸复印件2套，到张家口</w:t>
      </w:r>
      <w:r>
        <w:rPr>
          <w:rFonts w:hint="eastAsia" w:asciiTheme="minorEastAsia" w:hAnsiTheme="minorEastAsia" w:eastAsiaTheme="minorEastAsia" w:cstheme="minorEastAsia"/>
          <w:b/>
          <w:sz w:val="24"/>
          <w:szCs w:val="24"/>
          <w:lang w:val="en-US" w:eastAsia="zh-CN"/>
        </w:rPr>
        <w:t>霖辉物业管理集团</w:t>
      </w:r>
      <w:r>
        <w:rPr>
          <w:rFonts w:hint="eastAsia" w:asciiTheme="minorEastAsia" w:hAnsiTheme="minorEastAsia" w:eastAsiaTheme="minorEastAsia" w:cstheme="minorEastAsia"/>
          <w:b/>
          <w:sz w:val="24"/>
          <w:szCs w:val="24"/>
        </w:rPr>
        <w:t>有限公司报名登记并获取询比采购文件；公司提供电子版文件；供应商提供的报名资料复印件必须真实、清晰且与携带原件一致并加盖单位公章，若因报名材料复印件的清晰度、真实性及与原件的一致性等问题导致报名不通过的由投标报名单位自行负责；</w:t>
      </w:r>
      <w:r>
        <w:rPr>
          <w:rFonts w:hint="eastAsia" w:asciiTheme="minorEastAsia" w:hAnsiTheme="minorEastAsia" w:eastAsiaTheme="minorEastAsia" w:cstheme="minorEastAsia"/>
          <w:b/>
          <w:bCs/>
          <w:sz w:val="24"/>
          <w:szCs w:val="24"/>
        </w:rPr>
        <w:t>本项目不接受联合体投标。</w:t>
      </w:r>
    </w:p>
    <w:p w14:paraId="5A8C4C80">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4.投标报名地点：张家口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636425BA">
      <w:pPr>
        <w:keepNext w:val="0"/>
        <w:keepLines w:val="0"/>
        <w:pageBreakBefore w:val="0"/>
        <w:numPr>
          <w:ilvl w:val="0"/>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highlight w:val="red"/>
        </w:rPr>
      </w:pPr>
      <w:r>
        <w:rPr>
          <w:rFonts w:hint="eastAsia" w:asciiTheme="minorEastAsia" w:hAnsiTheme="minorEastAsia" w:eastAsiaTheme="minorEastAsia" w:cstheme="minorEastAsia"/>
          <w:kern w:val="2"/>
          <w:sz w:val="24"/>
          <w:szCs w:val="24"/>
          <w:lang w:val="en-US" w:eastAsia="zh-CN" w:bidi="ar-SA"/>
        </w:rPr>
        <w:t>八、</w:t>
      </w:r>
      <w:r>
        <w:rPr>
          <w:rFonts w:hint="eastAsia" w:asciiTheme="minorEastAsia" w:hAnsiTheme="minorEastAsia" w:eastAsiaTheme="minorEastAsia" w:cstheme="minorEastAsia"/>
          <w:sz w:val="24"/>
          <w:szCs w:val="24"/>
        </w:rPr>
        <w:t>项目采购预算：</w:t>
      </w:r>
      <w:r>
        <w:rPr>
          <w:rFonts w:hint="eastAsia" w:asciiTheme="minorEastAsia" w:hAnsiTheme="minorEastAsia" w:eastAsiaTheme="minorEastAsia" w:cstheme="minorEastAsia"/>
          <w:b/>
          <w:sz w:val="24"/>
          <w:szCs w:val="24"/>
          <w:highlight w:val="red"/>
        </w:rPr>
        <w:t>人民币</w:t>
      </w:r>
      <w:r>
        <w:rPr>
          <w:rFonts w:hint="eastAsia" w:asciiTheme="minorEastAsia" w:hAnsiTheme="minorEastAsia" w:eastAsiaTheme="minorEastAsia" w:cstheme="minorEastAsia"/>
          <w:b/>
          <w:sz w:val="24"/>
          <w:szCs w:val="24"/>
          <w:highlight w:val="red"/>
          <w:lang w:val="en-US" w:eastAsia="zh-CN"/>
        </w:rPr>
        <w:t>436832</w:t>
      </w:r>
      <w:r>
        <w:rPr>
          <w:rFonts w:hint="eastAsia" w:asciiTheme="minorEastAsia" w:hAnsiTheme="minorEastAsia" w:eastAsiaTheme="minorEastAsia" w:cstheme="minorEastAsia"/>
          <w:b/>
          <w:sz w:val="24"/>
          <w:szCs w:val="24"/>
          <w:highlight w:val="red"/>
        </w:rPr>
        <w:t>元</w:t>
      </w:r>
    </w:p>
    <w:p w14:paraId="2C273F51">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九、资格审查方式：资格后审</w:t>
      </w:r>
    </w:p>
    <w:p w14:paraId="23D4BCB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十、报价方式：总报价</w:t>
      </w:r>
    </w:p>
    <w:p w14:paraId="37355BA1">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sz w:val="24"/>
          <w:szCs w:val="24"/>
        </w:rPr>
        <w:t>、询比采购投标文件递交截止暨开标时间：</w:t>
      </w:r>
      <w:r>
        <w:rPr>
          <w:rFonts w:hint="eastAsia" w:asciiTheme="minorEastAsia" w:hAnsiTheme="minorEastAsia" w:eastAsiaTheme="minorEastAsia" w:cstheme="minorEastAsia"/>
          <w:b/>
          <w:sz w:val="24"/>
          <w:szCs w:val="24"/>
          <w:highlight w:val="none"/>
        </w:rPr>
        <w:t>202</w:t>
      </w:r>
      <w:r>
        <w:rPr>
          <w:rFonts w:hint="eastAsia" w:asciiTheme="minorEastAsia" w:hAnsiTheme="minorEastAsia" w:eastAsiaTheme="minorEastAsia" w:cstheme="minorEastAsia"/>
          <w:b/>
          <w:sz w:val="24"/>
          <w:szCs w:val="24"/>
          <w:highlight w:val="none"/>
          <w:lang w:val="en-US" w:eastAsia="zh-CN"/>
        </w:rPr>
        <w:t>6</w:t>
      </w:r>
      <w:r>
        <w:rPr>
          <w:rFonts w:hint="eastAsia" w:asciiTheme="minorEastAsia" w:hAnsiTheme="minorEastAsia" w:eastAsiaTheme="minorEastAsia" w:cstheme="minorEastAsia"/>
          <w:b/>
          <w:sz w:val="24"/>
          <w:szCs w:val="24"/>
          <w:highlight w:val="none"/>
        </w:rPr>
        <w:t>年</w:t>
      </w:r>
      <w:r>
        <w:rPr>
          <w:rFonts w:hint="eastAsia" w:asciiTheme="minorEastAsia" w:hAnsiTheme="minorEastAsia" w:eastAsiaTheme="minorEastAsia" w:cstheme="minorEastAsia"/>
          <w:b/>
          <w:sz w:val="24"/>
          <w:szCs w:val="24"/>
          <w:highlight w:val="none"/>
          <w:lang w:val="en-US" w:eastAsia="zh-CN"/>
        </w:rPr>
        <w:t>3</w:t>
      </w:r>
      <w:r>
        <w:rPr>
          <w:rFonts w:hint="eastAsia" w:asciiTheme="minorEastAsia" w:hAnsiTheme="minorEastAsia" w:eastAsiaTheme="minorEastAsia" w:cstheme="minorEastAsia"/>
          <w:b/>
          <w:sz w:val="24"/>
          <w:szCs w:val="24"/>
          <w:highlight w:val="none"/>
        </w:rPr>
        <w:t>月</w:t>
      </w:r>
      <w:r>
        <w:rPr>
          <w:rFonts w:hint="eastAsia" w:asciiTheme="minorEastAsia" w:hAnsiTheme="minorEastAsia" w:eastAsiaTheme="minorEastAsia" w:cstheme="minorEastAsia"/>
          <w:b/>
          <w:sz w:val="24"/>
          <w:szCs w:val="24"/>
          <w:highlight w:val="none"/>
          <w:lang w:val="en-US" w:eastAsia="zh-CN"/>
        </w:rPr>
        <w:t>30</w:t>
      </w:r>
      <w:r>
        <w:rPr>
          <w:rFonts w:hint="eastAsia" w:asciiTheme="minorEastAsia" w:hAnsiTheme="minorEastAsia" w:eastAsiaTheme="minorEastAsia" w:cstheme="minorEastAsia"/>
          <w:b/>
          <w:sz w:val="24"/>
          <w:szCs w:val="24"/>
          <w:highlight w:val="none"/>
        </w:rPr>
        <w:t>日北京时间</w:t>
      </w:r>
      <w:r>
        <w:rPr>
          <w:rFonts w:hint="eastAsia" w:asciiTheme="minorEastAsia" w:hAnsiTheme="minorEastAsia" w:eastAsiaTheme="minorEastAsia" w:cstheme="minorEastAsia"/>
          <w:b/>
          <w:sz w:val="24"/>
          <w:szCs w:val="24"/>
          <w:highlight w:val="none"/>
          <w:lang w:val="en-US" w:eastAsia="zh-CN"/>
        </w:rPr>
        <w:t>15：00</w:t>
      </w:r>
    </w:p>
    <w:p w14:paraId="3DE60538">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十二、开标地点：张家口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0660017D">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十三、评标地点：张家口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53861F64">
      <w:pPr>
        <w:keepNext w:val="0"/>
        <w:keepLines w:val="0"/>
        <w:pageBreakBefore w:val="0"/>
        <w:kinsoku/>
        <w:wordWrap/>
        <w:overflowPunct/>
        <w:topLinePunct w:val="0"/>
        <w:bidi w:val="0"/>
        <w:spacing w:line="560" w:lineRule="exact"/>
        <w:ind w:firstLine="472"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逾期收到或未按邀请询比采购文件要求予以标记和密封的询比采购投标文件恕不接受。</w:t>
      </w:r>
    </w:p>
    <w:p w14:paraId="0DEFA9F2">
      <w:pPr>
        <w:keepNext w:val="0"/>
        <w:keepLines w:val="0"/>
        <w:pageBreakBefore w:val="0"/>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w:t>
      </w:r>
    </w:p>
    <w:p w14:paraId="2438C40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p>
    <w:p w14:paraId="30EFFE5A">
      <w:pPr>
        <w:keepNext w:val="0"/>
        <w:keepLines w:val="0"/>
        <w:pageBreakBefore w:val="0"/>
        <w:widowControl/>
        <w:kinsoku/>
        <w:wordWrap/>
        <w:overflowPunct/>
        <w:topLinePunct w:val="0"/>
        <w:bidi w:val="0"/>
        <w:spacing w:line="56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0313-</w:t>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lang w:val="en-US" w:eastAsia="zh-CN"/>
        </w:rPr>
        <w:t>87863</w:t>
      </w:r>
    </w:p>
    <w:p w14:paraId="51EA2D42">
      <w:pPr>
        <w:keepNext w:val="0"/>
        <w:keepLines w:val="0"/>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李晓杰</w:t>
      </w:r>
    </w:p>
    <w:p w14:paraId="05987071">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5481F5C1">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第二部分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招标项目内容及要求</w:t>
      </w:r>
    </w:p>
    <w:p w14:paraId="1215E319">
      <w:pPr>
        <w:pageBreakBefore w:val="0"/>
        <w:kinsoku/>
        <w:wordWrap/>
        <w:overflowPunct/>
        <w:topLinePunct w:val="0"/>
        <w:bidi w:val="0"/>
        <w:spacing w:line="560" w:lineRule="exact"/>
        <w:jc w:val="center"/>
        <w:textAlignment w:val="auto"/>
        <w:outlineLvl w:val="9"/>
        <w:rPr>
          <w:rFonts w:hint="eastAsia" w:asciiTheme="minorEastAsia" w:hAnsiTheme="minorEastAsia" w:eastAsiaTheme="minorEastAsia" w:cstheme="minorEastAsia"/>
          <w:b w:val="0"/>
          <w:bCs w:val="0"/>
          <w:color w:val="000000"/>
          <w:sz w:val="24"/>
          <w:szCs w:val="24"/>
          <w:lang w:val="en-US" w:eastAsia="zh-CN"/>
        </w:rPr>
      </w:pPr>
    </w:p>
    <w:p w14:paraId="10068FCE">
      <w:pPr>
        <w:pStyle w:val="2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一、服务内容</w:t>
      </w:r>
    </w:p>
    <w:p w14:paraId="6ABE4982">
      <w:pPr>
        <w:keepNext w:val="0"/>
        <w:keepLines w:val="0"/>
        <w:pageBreakBefore w:val="0"/>
        <w:widowControl/>
        <w:kinsoku/>
        <w:wordWrap/>
        <w:overflowPunct/>
        <w:topLinePunct w:val="0"/>
        <w:autoSpaceDE/>
        <w:autoSpaceDN/>
        <w:bidi w:val="0"/>
        <w:adjustRightInd/>
        <w:snapToGrid/>
        <w:spacing w:line="560" w:lineRule="exact"/>
        <w:ind w:firstLine="476" w:firstLineChars="200"/>
        <w:jc w:val="left"/>
        <w:textAlignment w:val="auto"/>
        <w:rPr>
          <w:rFonts w:hint="default" w:ascii="宋体" w:hAnsi="宋体" w:eastAsia="宋体" w:cs="宋体"/>
          <w:spacing w:val="-1"/>
          <w:sz w:val="24"/>
          <w:szCs w:val="24"/>
          <w:lang w:val="en-US" w:eastAsia="zh-CN"/>
        </w:rPr>
      </w:pPr>
      <w:r>
        <w:rPr>
          <w:rFonts w:hint="eastAsia" w:ascii="宋体" w:hAnsi="宋体" w:cs="宋体"/>
          <w:spacing w:val="-1"/>
          <w:sz w:val="24"/>
          <w:szCs w:val="24"/>
          <w:lang w:val="en-US" w:eastAsia="zh-CN"/>
        </w:rPr>
        <w:t>综合服务：设项目主管，</w:t>
      </w:r>
      <w:r>
        <w:rPr>
          <w:rFonts w:hint="eastAsia" w:ascii="宋体" w:hAnsi="宋体" w:eastAsia="宋体" w:cs="宋体"/>
          <w:spacing w:val="-1"/>
          <w:sz w:val="24"/>
          <w:szCs w:val="24"/>
          <w:lang w:val="en-US" w:eastAsia="zh-CN"/>
        </w:rPr>
        <w:t>对项目整体进行运营、人员管理等负全责</w:t>
      </w:r>
      <w:r>
        <w:rPr>
          <w:rFonts w:hint="eastAsia" w:ascii="宋体" w:hAnsi="宋体" w:cs="宋体"/>
          <w:spacing w:val="-1"/>
          <w:sz w:val="24"/>
          <w:szCs w:val="24"/>
          <w:lang w:val="en-US" w:eastAsia="zh-CN"/>
        </w:rPr>
        <w:t>。设前台服务人员，主动询问，登记信息准确，及时联系被访人，准确核实工作人员身份。听从安排，认真完成领导布置的内勤工作。</w:t>
      </w:r>
    </w:p>
    <w:p w14:paraId="4469B523">
      <w:pPr>
        <w:keepNext w:val="0"/>
        <w:keepLines w:val="0"/>
        <w:pageBreakBefore w:val="0"/>
        <w:widowControl/>
        <w:kinsoku/>
        <w:wordWrap/>
        <w:overflowPunct/>
        <w:topLinePunct w:val="0"/>
        <w:autoSpaceDE/>
        <w:autoSpaceDN/>
        <w:bidi w:val="0"/>
        <w:adjustRightInd/>
        <w:snapToGrid/>
        <w:spacing w:line="560" w:lineRule="exact"/>
        <w:ind w:firstLine="476" w:firstLineChars="200"/>
        <w:jc w:val="left"/>
        <w:textAlignment w:val="auto"/>
        <w:rPr>
          <w:rFonts w:ascii="宋体" w:hAnsi="宋体" w:eastAsia="宋体" w:cs="宋体"/>
          <w:spacing w:val="-3"/>
          <w:sz w:val="24"/>
          <w:szCs w:val="24"/>
        </w:rPr>
      </w:pPr>
      <w:r>
        <w:rPr>
          <w:rFonts w:hint="eastAsia" w:ascii="宋体" w:hAnsi="宋体" w:cs="宋体"/>
          <w:spacing w:val="-1"/>
          <w:sz w:val="24"/>
          <w:szCs w:val="24"/>
          <w:lang w:val="en-US" w:eastAsia="zh-CN"/>
        </w:rPr>
        <w:t>垃圾处理及清运</w:t>
      </w:r>
      <w:r>
        <w:rPr>
          <w:rFonts w:hint="eastAsia" w:asciiTheme="minorEastAsia" w:hAnsiTheme="minorEastAsia" w:eastAsiaTheme="minorEastAsia" w:cstheme="minorEastAsia"/>
          <w:sz w:val="24"/>
          <w:szCs w:val="24"/>
          <w:lang w:val="en-US" w:eastAsia="zh-CN"/>
        </w:rPr>
        <w:t>：</w:t>
      </w:r>
      <w:r>
        <w:rPr>
          <w:rFonts w:hint="eastAsia" w:ascii="宋体" w:hAnsi="宋体" w:eastAsia="宋体" w:cs="宋体"/>
          <w:spacing w:val="-1"/>
          <w:sz w:val="24"/>
          <w:szCs w:val="24"/>
        </w:rPr>
        <w:t>定时清理垃圾桶垃圾，将垃圾运送至指定垃圾存放点，联系垃圾清运公司进行清运，做到垃圾无散落，垃圾存放点无垃圾堆积、无异味散发，清运记录完整准确，确保日产日清。</w:t>
      </w:r>
    </w:p>
    <w:p w14:paraId="147AAD78">
      <w:pPr>
        <w:keepNext w:val="0"/>
        <w:keepLines w:val="0"/>
        <w:pageBreakBefore w:val="0"/>
        <w:widowControl/>
        <w:kinsoku/>
        <w:wordWrap/>
        <w:overflowPunct/>
        <w:topLinePunct w:val="0"/>
        <w:autoSpaceDE/>
        <w:autoSpaceDN/>
        <w:bidi w:val="0"/>
        <w:adjustRightInd/>
        <w:snapToGrid/>
        <w:spacing w:line="560" w:lineRule="exact"/>
        <w:ind w:firstLine="476" w:firstLineChars="200"/>
        <w:jc w:val="left"/>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四害消杀服务：</w:t>
      </w:r>
      <w:r>
        <w:rPr>
          <w:rFonts w:hint="default" w:ascii="宋体" w:hAnsi="宋体" w:cs="宋体"/>
          <w:spacing w:val="-1"/>
          <w:sz w:val="24"/>
          <w:szCs w:val="24"/>
          <w:lang w:val="en-US" w:eastAsia="zh-CN"/>
        </w:rPr>
        <w:t>所承包的防治项目,应有首次杀灭作业前的现场密度检测记录，具体施工操作时间由乙方合理安排，提前以电话联系或传真施工安排表的方式通知甲方负责人</w:t>
      </w:r>
      <w:r>
        <w:rPr>
          <w:rFonts w:hint="eastAsia" w:ascii="宋体" w:hAnsi="宋体" w:cs="宋体"/>
          <w:spacing w:val="-1"/>
          <w:sz w:val="24"/>
          <w:szCs w:val="24"/>
          <w:lang w:val="en-US" w:eastAsia="zh-CN"/>
        </w:rPr>
        <w:t>，</w:t>
      </w:r>
      <w:r>
        <w:rPr>
          <w:rFonts w:hint="default" w:ascii="宋体" w:hAnsi="宋体" w:cs="宋体"/>
          <w:spacing w:val="-1"/>
          <w:sz w:val="24"/>
          <w:szCs w:val="24"/>
          <w:lang w:val="en-US" w:eastAsia="zh-CN"/>
        </w:rPr>
        <w:t>每次应有相关记录资料提请甲方相关人员现场签字确认。</w:t>
      </w:r>
    </w:p>
    <w:p w14:paraId="47B43BF9">
      <w:pPr>
        <w:keepNext w:val="0"/>
        <w:keepLines w:val="0"/>
        <w:pageBreakBefore w:val="0"/>
        <w:widowControl/>
        <w:kinsoku/>
        <w:wordWrap/>
        <w:overflowPunct/>
        <w:topLinePunct w:val="0"/>
        <w:autoSpaceDE/>
        <w:autoSpaceDN/>
        <w:bidi w:val="0"/>
        <w:adjustRightInd/>
        <w:snapToGrid/>
        <w:spacing w:line="560" w:lineRule="exact"/>
        <w:ind w:firstLine="476" w:firstLineChars="200"/>
        <w:jc w:val="left"/>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保洁服务：</w:t>
      </w:r>
      <w:r>
        <w:rPr>
          <w:rFonts w:hint="default" w:ascii="宋体" w:hAnsi="宋体" w:cs="宋体"/>
          <w:spacing w:val="-1"/>
          <w:sz w:val="24"/>
          <w:szCs w:val="24"/>
          <w:lang w:val="en-US" w:eastAsia="zh-CN"/>
        </w:rPr>
        <w:t>公共区域精细化清洁维护，涵盖大堂、走廊、电梯厅、楼梯间、卫生间及办公公共区域。日常负责地面清扫、拖洗、推尘，墙面、踢脚线、指示牌除尘擦拭，电梯内外清洁保养，玻璃门窗及镜面洁净处理。卫生间定时清洁消毒，保持洗手台、便器干净无异味，及时补充卫生用品。定期对垃圾桶、烟灰缸清理消杀，做好垃圾分类清运，细致清理卫生死角。服务人员专业规范，使用环保清洁用品，定时巡回保洁，维持写字楼整洁、明亮、舒适的办公环境，提升整体商务形象。</w:t>
      </w:r>
    </w:p>
    <w:p w14:paraId="020293BD">
      <w:pPr>
        <w:pStyle w:val="2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二、项目要求</w:t>
      </w:r>
    </w:p>
    <w:p w14:paraId="5EF0FE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保洁</w:t>
      </w:r>
      <w:r>
        <w:rPr>
          <w:rFonts w:hint="eastAsia" w:ascii="宋体" w:hAnsi="宋体" w:eastAsia="宋体" w:cs="宋体"/>
          <w:b/>
          <w:bCs/>
          <w:sz w:val="28"/>
          <w:szCs w:val="28"/>
          <w:highlight w:val="none"/>
          <w:lang w:val="en-US" w:eastAsia="zh-CN"/>
        </w:rPr>
        <w:t>服务</w:t>
      </w:r>
    </w:p>
    <w:p w14:paraId="2F15ED23">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大厅保洁</w:t>
      </w:r>
    </w:p>
    <w:p w14:paraId="2F11BD88">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大厅地面定时巡回清扫，要保证地面干净，无各类污渍、水渍、脚印及杂物堆积，玻璃门与把手光亮，家具表面整洁无灰尘，天花板无蛛网，灯具干净、无积尘，指示牌干净、无污渍，指示醒目。</w:t>
      </w:r>
    </w:p>
    <w:p w14:paraId="4D6A5076">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过道与楼梯保洁</w:t>
      </w:r>
    </w:p>
    <w:p w14:paraId="53A0D17F">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每日清扫过道与楼梯，过道与楼梯地面保持清洁，扶手无灰尘，角落无蜘蛛网堆积。做到过道与楼梯地面清洁，扶手无灰尘，角落无蜘蛛网堆积。</w:t>
      </w:r>
    </w:p>
    <w:p w14:paraId="25AED0A3">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电梯间保洁</w:t>
      </w:r>
    </w:p>
    <w:p w14:paraId="554BCD74">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电梯运行后及时清理轿厢地面，擦拭轿厢内壁、按钮与扶手，定期对电梯沟槽进行清洁，做到轿厢内无异味、无垃圾、内壁与按钮干净光亮。</w:t>
      </w:r>
    </w:p>
    <w:p w14:paraId="46448F19">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卫生间保洁</w:t>
      </w:r>
    </w:p>
    <w:p w14:paraId="72D305B8">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定时巡查清洁卫生间，做到卫生间无异味、便池干净无污渍、洗手台与镜子光洁无水渍，用品充足。</w:t>
      </w:r>
    </w:p>
    <w:p w14:paraId="715E218F">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茶水间保洁</w:t>
      </w:r>
    </w:p>
    <w:p w14:paraId="5B947734">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每天清洁茶水间水槽、台面与垃圾桶，冲洗水槽，擦拭台面水渍，清理垃圾桶垃圾。定期清理饮水机外部，做到水槽、台面干净无污渍，垃圾桶无堆积垃圾，饮水机外部清洁。</w:t>
      </w:r>
    </w:p>
    <w:p w14:paraId="584CD93B">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会议室保洁</w:t>
      </w:r>
    </w:p>
    <w:p w14:paraId="27D1CC6D">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会前会后分别对会议室进行针对性清洁，包括地面、桌椅、窗户、会议设备等，还需做好通风换气等工作，做到地面干净无污渍、灰尘、脚印，角落无杂物堆积。会议桌椅表面无灰尘、手印，摆放整齐。窗户玻璃透明洁净，窗台无灰尘堆积。会议设备如投影仪、麦克风等表面无灰尘。</w:t>
      </w:r>
    </w:p>
    <w:p w14:paraId="55162A09">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rPr>
        <w:t>领导办公室保洁</w:t>
      </w:r>
    </w:p>
    <w:p w14:paraId="1D972FD8">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每天完成领导办公室清洁工作，做到办公桌面文件摆放整齐，清理无用文件纸张。地面整洁干净，办公家具表面一尘不染。妥善处理在保洁过程中看到的文件资料等信息，不泄露任何内容。</w:t>
      </w:r>
    </w:p>
    <w:p w14:paraId="650C6FCD">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rPr>
        <w:t>公共活动场所保洁</w:t>
      </w:r>
    </w:p>
    <w:p w14:paraId="06A3C368">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在活动前后进行集中清洁。活动前清理场地杂物，活动后清扫垃圾、拖地，擦拭桌椅等设施，做到活动场所干净整洁，设施无灰尘堆积。</w:t>
      </w:r>
    </w:p>
    <w:p w14:paraId="59972EA8">
      <w:pPr>
        <w:widowControl/>
        <w:spacing w:line="360" w:lineRule="auto"/>
        <w:ind w:firstLine="476" w:firstLineChars="200"/>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rPr>
        <w:t>楼宇外墙玻璃保洁</w:t>
      </w:r>
    </w:p>
    <w:p w14:paraId="1E45BA2F">
      <w:pPr>
        <w:widowControl/>
        <w:spacing w:line="360" w:lineRule="auto"/>
        <w:ind w:firstLine="476" w:firstLineChars="200"/>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依规清洗外墙玻璃，先制定方案、设置标识，再用专业设备与清洁剂操作。保证玻璃外观整洁，无污渍、灰尘堆积。</w:t>
      </w:r>
    </w:p>
    <w:p w14:paraId="5702F90D">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1</w:t>
      </w:r>
      <w:r>
        <w:rPr>
          <w:rFonts w:hint="eastAsia" w:ascii="宋体" w:hAnsi="宋体" w:cs="宋体"/>
          <w:spacing w:val="-1"/>
          <w:sz w:val="24"/>
          <w:szCs w:val="24"/>
          <w:lang w:val="en-US" w:eastAsia="zh-CN"/>
        </w:rPr>
        <w:t>0</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保洁值班规定</w:t>
      </w:r>
    </w:p>
    <w:p w14:paraId="34B234FB">
      <w:pPr>
        <w:spacing w:line="360" w:lineRule="auto"/>
        <w:ind w:firstLine="476" w:firstLineChars="200"/>
        <w:jc w:val="left"/>
        <w:rPr>
          <w:rStyle w:val="16"/>
          <w:rFonts w:hint="eastAsia"/>
          <w:woUserID w:val="0"/>
        </w:rPr>
      </w:pPr>
      <w:r>
        <w:rPr>
          <w:rFonts w:hint="eastAsia" w:ascii="宋体" w:hAnsi="宋体" w:eastAsia="宋体" w:cs="宋体"/>
          <w:spacing w:val="-1"/>
          <w:sz w:val="24"/>
          <w:szCs w:val="24"/>
        </w:rPr>
        <w:t xml:space="preserve"> 每天中午安排一人轮流值班，定时对环境卫生进行巡查，如发现有清洁不到位或者新产生的卫生问题，要及时进行处理，确保环境卫生情况始终处于良好状态。同时记录值班期间的各项情况，在值班结束后向相关负责人汇报。</w:t>
      </w:r>
    </w:p>
    <w:p w14:paraId="765E37B8">
      <w:pPr>
        <w:pStyle w:val="2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六、绩效评价及标准</w:t>
      </w:r>
    </w:p>
    <w:p w14:paraId="6FC81F0E">
      <w:pPr>
        <w:pStyle w:val="10"/>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绩效评价及标准</w:t>
      </w:r>
    </w:p>
    <w:p w14:paraId="1A454EEC">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          考核时间：</w:t>
      </w:r>
    </w:p>
    <w:tbl>
      <w:tblPr>
        <w:tblStyle w:val="15"/>
        <w:tblW w:w="9742" w:type="dxa"/>
        <w:tblInd w:w="114"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27"/>
        <w:gridCol w:w="823"/>
        <w:gridCol w:w="1807"/>
        <w:gridCol w:w="4465"/>
        <w:gridCol w:w="576"/>
        <w:gridCol w:w="860"/>
        <w:gridCol w:w="574"/>
        <w:gridCol w:w="10"/>
      </w:tblGrid>
      <w:tr w14:paraId="4BA9402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627" w:type="dxa"/>
            <w:tcBorders>
              <w:tl2br w:val="nil"/>
              <w:tr2bl w:val="nil"/>
            </w:tcBorders>
            <w:shd w:val="clear" w:color="000000" w:fill="FFFFFF"/>
            <w:noWrap w:val="0"/>
            <w:vAlign w:val="center"/>
          </w:tcPr>
          <w:p w14:paraId="609957D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序号</w:t>
            </w:r>
          </w:p>
        </w:tc>
        <w:tc>
          <w:tcPr>
            <w:tcW w:w="823" w:type="dxa"/>
            <w:tcBorders>
              <w:tl2br w:val="nil"/>
              <w:tr2bl w:val="nil"/>
            </w:tcBorders>
            <w:shd w:val="clear" w:color="000000" w:fill="FFFFFF"/>
            <w:noWrap w:val="0"/>
            <w:vAlign w:val="center"/>
          </w:tcPr>
          <w:p w14:paraId="1466E5C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评价内容</w:t>
            </w:r>
          </w:p>
        </w:tc>
        <w:tc>
          <w:tcPr>
            <w:tcW w:w="6272" w:type="dxa"/>
            <w:gridSpan w:val="2"/>
            <w:tcBorders>
              <w:tl2br w:val="nil"/>
              <w:tr2bl w:val="nil"/>
            </w:tcBorders>
            <w:shd w:val="clear" w:color="000000" w:fill="FFFFFF"/>
            <w:noWrap w:val="0"/>
            <w:vAlign w:val="center"/>
          </w:tcPr>
          <w:p w14:paraId="3CC2F1D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b w:val="0"/>
                <w:bCs w:val="0"/>
                <w:sz w:val="24"/>
                <w:szCs w:val="24"/>
                <w:highlight w:val="none"/>
              </w:rPr>
              <w:t>绩效评价及标准</w:t>
            </w:r>
          </w:p>
        </w:tc>
        <w:tc>
          <w:tcPr>
            <w:tcW w:w="576" w:type="dxa"/>
            <w:tcBorders>
              <w:tl2br w:val="nil"/>
              <w:tr2bl w:val="nil"/>
            </w:tcBorders>
            <w:shd w:val="clear" w:color="000000" w:fill="FFFFFF"/>
            <w:noWrap w:val="0"/>
            <w:vAlign w:val="center"/>
          </w:tcPr>
          <w:p w14:paraId="52F7E0B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分值</w:t>
            </w:r>
          </w:p>
        </w:tc>
        <w:tc>
          <w:tcPr>
            <w:tcW w:w="860" w:type="dxa"/>
            <w:tcBorders>
              <w:tl2br w:val="nil"/>
              <w:tr2bl w:val="nil"/>
            </w:tcBorders>
            <w:shd w:val="clear" w:color="000000" w:fill="FFFFFF"/>
            <w:noWrap w:val="0"/>
            <w:vAlign w:val="center"/>
          </w:tcPr>
          <w:p w14:paraId="549D3DD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评分细则</w:t>
            </w:r>
          </w:p>
        </w:tc>
        <w:tc>
          <w:tcPr>
            <w:tcW w:w="584" w:type="dxa"/>
            <w:gridSpan w:val="2"/>
            <w:tcBorders>
              <w:tl2br w:val="nil"/>
              <w:tr2bl w:val="nil"/>
            </w:tcBorders>
            <w:shd w:val="clear" w:color="000000" w:fill="FFFFFF"/>
            <w:noWrap w:val="0"/>
            <w:vAlign w:val="center"/>
          </w:tcPr>
          <w:p w14:paraId="498B610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扣分</w:t>
            </w:r>
          </w:p>
        </w:tc>
      </w:tr>
      <w:tr w14:paraId="5B84B05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restart"/>
            <w:tcBorders>
              <w:tl2br w:val="nil"/>
              <w:tr2bl w:val="nil"/>
            </w:tcBorders>
            <w:noWrap w:val="0"/>
            <w:vAlign w:val="center"/>
          </w:tcPr>
          <w:p w14:paraId="529B9E5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w:t>
            </w:r>
          </w:p>
        </w:tc>
        <w:tc>
          <w:tcPr>
            <w:tcW w:w="823" w:type="dxa"/>
            <w:vMerge w:val="restart"/>
            <w:tcBorders>
              <w:tl2br w:val="nil"/>
              <w:tr2bl w:val="nil"/>
            </w:tcBorders>
            <w:noWrap w:val="0"/>
            <w:vAlign w:val="center"/>
          </w:tcPr>
          <w:p w14:paraId="3C6C3B7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人员要求</w:t>
            </w:r>
          </w:p>
        </w:tc>
        <w:tc>
          <w:tcPr>
            <w:tcW w:w="6272" w:type="dxa"/>
            <w:gridSpan w:val="2"/>
            <w:tcBorders>
              <w:tl2br w:val="nil"/>
              <w:tr2bl w:val="nil"/>
            </w:tcBorders>
            <w:noWrap w:val="0"/>
            <w:vAlign w:val="center"/>
          </w:tcPr>
          <w:p w14:paraId="414B9109">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聘用保洁人员男性在50岁以下（含50岁），女性45岁以下（含45岁）</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无违法犯罪记录，身体健康情况良好，品行端正、无不良嗜好，工作积极主动，责任心强，有较强的组织纪律性</w:t>
            </w:r>
            <w:r>
              <w:rPr>
                <w:rFonts w:hint="eastAsia" w:ascii="宋体" w:hAnsi="宋体" w:eastAsia="宋体" w:cs="宋体"/>
                <w:b w:val="0"/>
                <w:bCs w:val="0"/>
                <w:sz w:val="24"/>
                <w:szCs w:val="24"/>
                <w:highlight w:val="none"/>
                <w:lang w:val="en-US" w:eastAsia="zh-CN"/>
              </w:rPr>
              <w:t>。</w:t>
            </w:r>
          </w:p>
        </w:tc>
        <w:tc>
          <w:tcPr>
            <w:tcW w:w="576" w:type="dxa"/>
            <w:tcBorders>
              <w:tl2br w:val="nil"/>
              <w:tr2bl w:val="nil"/>
            </w:tcBorders>
            <w:noWrap w:val="0"/>
            <w:vAlign w:val="center"/>
          </w:tcPr>
          <w:p w14:paraId="6F114B4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restart"/>
            <w:tcBorders>
              <w:tl2br w:val="nil"/>
              <w:tr2bl w:val="nil"/>
            </w:tcBorders>
            <w:noWrap w:val="0"/>
            <w:vAlign w:val="center"/>
          </w:tcPr>
          <w:p w14:paraId="6D2CCD9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2B756D4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D08F24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78179F3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2AE8880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0224E94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服务</w:t>
            </w:r>
            <w:r>
              <w:rPr>
                <w:rFonts w:hint="eastAsia" w:ascii="宋体" w:hAnsi="宋体" w:eastAsia="宋体" w:cs="宋体"/>
                <w:sz w:val="24"/>
                <w:szCs w:val="24"/>
                <w:lang w:eastAsia="zh-CN"/>
              </w:rPr>
              <w:t>人员</w:t>
            </w:r>
            <w:r>
              <w:rPr>
                <w:rFonts w:hint="eastAsia" w:ascii="宋体" w:hAnsi="宋体" w:eastAsia="宋体" w:cs="宋体"/>
                <w:sz w:val="24"/>
                <w:szCs w:val="24"/>
              </w:rPr>
              <w:t>工作时要着统</w:t>
            </w:r>
            <w:r>
              <w:rPr>
                <w:rFonts w:hint="eastAsia" w:ascii="宋体" w:hAnsi="宋体" w:eastAsia="宋体" w:cs="宋体"/>
                <w:sz w:val="24"/>
                <w:szCs w:val="24"/>
                <w:lang w:val="en-US" w:eastAsia="zh-CN"/>
              </w:rPr>
              <w:t>一工作服，</w:t>
            </w:r>
            <w:r>
              <w:rPr>
                <w:rFonts w:hint="eastAsia" w:ascii="宋体" w:hAnsi="宋体" w:eastAsia="宋体" w:cs="宋体"/>
                <w:sz w:val="24"/>
                <w:szCs w:val="24"/>
              </w:rPr>
              <w:t>工作服要整洁,纽扣要扣齐,不允许敞开外衣,非工作需要不允许将衣袖、裤管卷起,不允许将衣服搭在肩上。</w:t>
            </w:r>
          </w:p>
        </w:tc>
        <w:tc>
          <w:tcPr>
            <w:tcW w:w="576" w:type="dxa"/>
            <w:tcBorders>
              <w:tl2br w:val="nil"/>
              <w:tr2bl w:val="nil"/>
            </w:tcBorders>
            <w:noWrap w:val="0"/>
            <w:vAlign w:val="center"/>
          </w:tcPr>
          <w:p w14:paraId="228D803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42F958E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78153D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77273B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02BEC58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24790A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D223E6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sz w:val="24"/>
                <w:szCs w:val="24"/>
              </w:rPr>
              <w:t>制服外衣衣袖、衣领不显露个人衣物,制服外不显露个人物品,服装衣袋不装过大过厚物品,袋内物品不外露。</w:t>
            </w:r>
          </w:p>
        </w:tc>
        <w:tc>
          <w:tcPr>
            <w:tcW w:w="576" w:type="dxa"/>
            <w:tcBorders>
              <w:tl2br w:val="nil"/>
              <w:tr2bl w:val="nil"/>
            </w:tcBorders>
            <w:noWrap w:val="0"/>
            <w:vAlign w:val="center"/>
          </w:tcPr>
          <w:p w14:paraId="05F9D0A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221C0AC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744D4C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FB8851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375D64D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CD924D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4F23A9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鞋袜穿戴整齐并保持清洁,鞋带系好,非工作需要不允许打赤脚或穿雨鞋到处走。</w:t>
            </w:r>
          </w:p>
        </w:tc>
        <w:tc>
          <w:tcPr>
            <w:tcW w:w="576" w:type="dxa"/>
            <w:tcBorders>
              <w:tl2br w:val="nil"/>
              <w:tr2bl w:val="nil"/>
            </w:tcBorders>
            <w:noWrap w:val="0"/>
            <w:vAlign w:val="center"/>
          </w:tcPr>
          <w:p w14:paraId="226C83A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5EEC3F8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DBC813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782B6D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2730972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4CD621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5A13EA9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sz w:val="24"/>
                <w:szCs w:val="24"/>
              </w:rPr>
              <w:t>不允许穿背心、短裤、拖鞋。</w:t>
            </w:r>
          </w:p>
        </w:tc>
        <w:tc>
          <w:tcPr>
            <w:tcW w:w="576" w:type="dxa"/>
            <w:tcBorders>
              <w:tl2br w:val="nil"/>
              <w:tr2bl w:val="nil"/>
            </w:tcBorders>
            <w:noWrap w:val="0"/>
            <w:vAlign w:val="center"/>
          </w:tcPr>
          <w:p w14:paraId="4C254FC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666C440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9F15E4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86FC05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7359CA8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CBCC10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D01AC3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sz w:val="24"/>
                <w:szCs w:val="24"/>
              </w:rPr>
              <w:t>男女员工均不允许戴有色眼镜,不佩戴多余首饰。</w:t>
            </w:r>
          </w:p>
        </w:tc>
        <w:tc>
          <w:tcPr>
            <w:tcW w:w="576" w:type="dxa"/>
            <w:tcBorders>
              <w:tl2br w:val="nil"/>
              <w:tr2bl w:val="nil"/>
            </w:tcBorders>
            <w:noWrap w:val="0"/>
            <w:vAlign w:val="center"/>
          </w:tcPr>
          <w:p w14:paraId="7A85EDA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7AA4EFF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C684BE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2867DE9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14C2658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11E404E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07BCE5B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sz w:val="24"/>
                <w:szCs w:val="24"/>
              </w:rPr>
              <w:t>女员工前发不遮眼,不披发,不梳怪异发型。</w:t>
            </w:r>
          </w:p>
        </w:tc>
        <w:tc>
          <w:tcPr>
            <w:tcW w:w="576" w:type="dxa"/>
            <w:tcBorders>
              <w:tl2br w:val="nil"/>
              <w:tr2bl w:val="nil"/>
            </w:tcBorders>
            <w:noWrap w:val="0"/>
            <w:vAlign w:val="center"/>
          </w:tcPr>
          <w:p w14:paraId="6F0068F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0302C34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DF6198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EF3693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56981E0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3902C3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269A6D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sz w:val="24"/>
                <w:szCs w:val="24"/>
              </w:rPr>
              <w:t>男员工后发根不遮领,不盖耳,不留胡须,不梳怪异发型。</w:t>
            </w:r>
          </w:p>
        </w:tc>
        <w:tc>
          <w:tcPr>
            <w:tcW w:w="576" w:type="dxa"/>
            <w:tcBorders>
              <w:tl2br w:val="nil"/>
              <w:tr2bl w:val="nil"/>
            </w:tcBorders>
            <w:noWrap w:val="0"/>
            <w:vAlign w:val="center"/>
          </w:tcPr>
          <w:p w14:paraId="1A39B1F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618F840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0C4776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2BE1B9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0DDA5EC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E2F822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3F38A6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w:t>
            </w:r>
            <w:r>
              <w:rPr>
                <w:rFonts w:hint="eastAsia" w:ascii="宋体" w:hAnsi="宋体" w:eastAsia="宋体" w:cs="宋体"/>
                <w:sz w:val="24"/>
                <w:szCs w:val="24"/>
              </w:rPr>
              <w:t>男女员工不允许剃光头。</w:t>
            </w:r>
          </w:p>
        </w:tc>
        <w:tc>
          <w:tcPr>
            <w:tcW w:w="576" w:type="dxa"/>
            <w:tcBorders>
              <w:tl2br w:val="nil"/>
              <w:tr2bl w:val="nil"/>
            </w:tcBorders>
            <w:noWrap w:val="0"/>
            <w:vAlign w:val="center"/>
          </w:tcPr>
          <w:p w14:paraId="6E95A49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255D4CF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B27562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155AB90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0235441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58B1A0E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3E06259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w:t>
            </w:r>
            <w:r>
              <w:rPr>
                <w:rFonts w:hint="eastAsia" w:ascii="宋体" w:hAnsi="宋体" w:eastAsia="宋体" w:cs="宋体"/>
                <w:sz w:val="24"/>
                <w:szCs w:val="24"/>
              </w:rPr>
              <w:t>保持手部干净,指甲不允许超过指头两毫米,指甲不允许残留污物,不涂有色指甲油。</w:t>
            </w:r>
          </w:p>
        </w:tc>
        <w:tc>
          <w:tcPr>
            <w:tcW w:w="576" w:type="dxa"/>
            <w:tcBorders>
              <w:tl2br w:val="nil"/>
              <w:tr2bl w:val="nil"/>
            </w:tcBorders>
            <w:noWrap w:val="0"/>
            <w:vAlign w:val="center"/>
          </w:tcPr>
          <w:p w14:paraId="6C245FD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33AE08B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BC1BC6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F31142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2F0292B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DE7532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2CFEB2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w:t>
            </w:r>
            <w:r>
              <w:rPr>
                <w:rFonts w:hint="eastAsia" w:ascii="宋体" w:hAnsi="宋体" w:eastAsia="宋体" w:cs="宋体"/>
                <w:sz w:val="24"/>
                <w:szCs w:val="24"/>
              </w:rPr>
              <w:t>员工应经常洗澡防汗臭,勤换衣服。衣服因工作而弄湿、弄脏后应及时换洗。</w:t>
            </w:r>
          </w:p>
        </w:tc>
        <w:tc>
          <w:tcPr>
            <w:tcW w:w="576" w:type="dxa"/>
            <w:tcBorders>
              <w:tl2br w:val="nil"/>
              <w:tr2bl w:val="nil"/>
            </w:tcBorders>
            <w:noWrap w:val="0"/>
            <w:vAlign w:val="center"/>
          </w:tcPr>
          <w:p w14:paraId="1109070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5BC4DF0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B72E93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927A96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197FFE8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CB5B99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2E0A2C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w:t>
            </w:r>
            <w:r>
              <w:rPr>
                <w:rFonts w:hint="eastAsia" w:ascii="宋体" w:hAnsi="宋体" w:eastAsia="宋体" w:cs="宋体"/>
                <w:sz w:val="24"/>
                <w:szCs w:val="24"/>
              </w:rPr>
              <w:t>上班前不允许吃异味食品,保持口腔清洁,口气清新。</w:t>
            </w:r>
          </w:p>
        </w:tc>
        <w:tc>
          <w:tcPr>
            <w:tcW w:w="576" w:type="dxa"/>
            <w:tcBorders>
              <w:tl2br w:val="nil"/>
              <w:tr2bl w:val="nil"/>
            </w:tcBorders>
            <w:noWrap w:val="0"/>
            <w:vAlign w:val="center"/>
          </w:tcPr>
          <w:p w14:paraId="3436249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37206F9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250979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5193361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0414010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3BC543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A68C43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w:t>
            </w:r>
            <w:r>
              <w:rPr>
                <w:rFonts w:hint="eastAsia" w:ascii="宋体" w:hAnsi="宋体" w:eastAsia="宋体" w:cs="宋体"/>
                <w:sz w:val="24"/>
                <w:szCs w:val="24"/>
              </w:rPr>
              <w:t>女员工不允许浓妆艳抹,避免使用味浓的</w:t>
            </w:r>
            <w:r>
              <w:rPr>
                <w:rFonts w:hint="eastAsia" w:ascii="宋体" w:hAnsi="宋体" w:eastAsia="宋体" w:cs="宋体"/>
                <w:sz w:val="24"/>
                <w:szCs w:val="24"/>
                <w:lang w:val="en-US" w:eastAsia="zh-CN"/>
              </w:rPr>
              <w:t>化妆</w:t>
            </w:r>
            <w:r>
              <w:rPr>
                <w:rFonts w:hint="eastAsia" w:ascii="宋体" w:hAnsi="宋体" w:eastAsia="宋体" w:cs="宋体"/>
                <w:sz w:val="24"/>
                <w:szCs w:val="24"/>
              </w:rPr>
              <w:t>品。</w:t>
            </w:r>
          </w:p>
        </w:tc>
        <w:tc>
          <w:tcPr>
            <w:tcW w:w="576" w:type="dxa"/>
            <w:tcBorders>
              <w:tl2br w:val="nil"/>
              <w:tr2bl w:val="nil"/>
            </w:tcBorders>
            <w:noWrap w:val="0"/>
            <w:vAlign w:val="center"/>
          </w:tcPr>
          <w:p w14:paraId="0CC3577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024F8EF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A99F93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015EFC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536012A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E32A02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58457B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w:t>
            </w:r>
            <w:r>
              <w:rPr>
                <w:rFonts w:hint="eastAsia" w:ascii="宋体" w:hAnsi="宋体" w:eastAsia="宋体" w:cs="宋体"/>
                <w:sz w:val="24"/>
                <w:szCs w:val="24"/>
              </w:rPr>
              <w:t>每天上班前应注意检查自己的仪表,上班时不能</w:t>
            </w:r>
            <w:r>
              <w:rPr>
                <w:rFonts w:hint="eastAsia" w:ascii="宋体" w:hAnsi="宋体" w:eastAsia="宋体" w:cs="宋体"/>
                <w:sz w:val="24"/>
                <w:szCs w:val="24"/>
                <w:lang w:val="en-US" w:eastAsia="zh-CN"/>
              </w:rPr>
              <w:t>客户</w:t>
            </w:r>
            <w:r>
              <w:rPr>
                <w:rFonts w:hint="eastAsia" w:ascii="宋体" w:hAnsi="宋体" w:eastAsia="宋体" w:cs="宋体"/>
                <w:sz w:val="24"/>
                <w:szCs w:val="24"/>
              </w:rPr>
              <w:t>面前或公共场所整理仪容仪表,必要时应到卫生间或工作间整理。</w:t>
            </w:r>
          </w:p>
        </w:tc>
        <w:tc>
          <w:tcPr>
            <w:tcW w:w="576" w:type="dxa"/>
            <w:tcBorders>
              <w:tl2br w:val="nil"/>
              <w:tr2bl w:val="nil"/>
            </w:tcBorders>
            <w:noWrap w:val="0"/>
            <w:vAlign w:val="center"/>
          </w:tcPr>
          <w:p w14:paraId="2203003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7C8F95B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49A1B8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997599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5B0BE8B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1630FC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7AB3E2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15.工作期间不准袖手、背手、或将手插入衣袋。不准搭肩、挽臂、边走边吸烟、吃东西、扇扇子、嬉笑打闹。不准随地吐痰、乱扔废物。</w:t>
            </w:r>
          </w:p>
        </w:tc>
        <w:tc>
          <w:tcPr>
            <w:tcW w:w="576" w:type="dxa"/>
            <w:tcBorders>
              <w:tl2br w:val="nil"/>
              <w:tr2bl w:val="nil"/>
            </w:tcBorders>
            <w:noWrap w:val="0"/>
            <w:vAlign w:val="center"/>
          </w:tcPr>
          <w:p w14:paraId="6382742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29196C0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4AD4E1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D7A7DD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386EA66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B62298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03E317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16.工作期间严禁饮酒。</w:t>
            </w:r>
          </w:p>
        </w:tc>
        <w:tc>
          <w:tcPr>
            <w:tcW w:w="576" w:type="dxa"/>
            <w:tcBorders>
              <w:tl2br w:val="nil"/>
              <w:tr2bl w:val="nil"/>
            </w:tcBorders>
            <w:noWrap w:val="0"/>
            <w:vAlign w:val="center"/>
          </w:tcPr>
          <w:p w14:paraId="07D6C0C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0C4ABE7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85385B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1C16619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0524CD7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FEF3B5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033741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17.</w:t>
            </w:r>
            <w:r>
              <w:rPr>
                <w:rFonts w:hint="eastAsia" w:ascii="宋体" w:hAnsi="宋体" w:eastAsia="宋体" w:cs="宋体"/>
                <w:sz w:val="24"/>
                <w:szCs w:val="24"/>
              </w:rPr>
              <w:t>在楼层进行工作时,不允许乱翻,不允许拿</w:t>
            </w:r>
            <w:r>
              <w:rPr>
                <w:rFonts w:hint="eastAsia" w:ascii="宋体" w:hAnsi="宋体" w:eastAsia="宋体" w:cs="宋体"/>
                <w:sz w:val="24"/>
                <w:szCs w:val="24"/>
                <w:lang w:val="en-US" w:eastAsia="zh-CN"/>
              </w:rPr>
              <w:t>客户</w:t>
            </w:r>
            <w:r>
              <w:rPr>
                <w:rFonts w:hint="eastAsia" w:ascii="宋体" w:hAnsi="宋体" w:eastAsia="宋体" w:cs="宋体"/>
                <w:sz w:val="24"/>
                <w:szCs w:val="24"/>
              </w:rPr>
              <w:t>的东西、礼物。</w:t>
            </w:r>
          </w:p>
        </w:tc>
        <w:tc>
          <w:tcPr>
            <w:tcW w:w="576" w:type="dxa"/>
            <w:tcBorders>
              <w:tl2br w:val="nil"/>
              <w:tr2bl w:val="nil"/>
            </w:tcBorders>
            <w:noWrap w:val="0"/>
            <w:vAlign w:val="center"/>
          </w:tcPr>
          <w:p w14:paraId="1D2B4CF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2821088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D98577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D06CBB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0C37E4F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BDBB6B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C0FC4F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18.</w:t>
            </w:r>
            <w:r>
              <w:rPr>
                <w:rFonts w:hint="eastAsia" w:ascii="宋体" w:hAnsi="宋体" w:eastAsia="宋体" w:cs="宋体"/>
                <w:sz w:val="24"/>
                <w:szCs w:val="24"/>
              </w:rPr>
              <w:t>对业主的称呼：男性称呼</w:t>
            </w:r>
            <w:r>
              <w:rPr>
                <w:rFonts w:hint="eastAsia" w:ascii="宋体" w:hAnsi="宋体" w:eastAsia="宋体" w:cs="宋体"/>
                <w:sz w:val="24"/>
                <w:szCs w:val="24"/>
                <w:lang w:eastAsia="zh-CN"/>
              </w:rPr>
              <w:t>“</w:t>
            </w:r>
            <w:r>
              <w:rPr>
                <w:rFonts w:hint="eastAsia" w:ascii="宋体" w:hAnsi="宋体" w:eastAsia="宋体" w:cs="宋体"/>
                <w:sz w:val="24"/>
                <w:szCs w:val="24"/>
              </w:rPr>
              <w:t>先生</w:t>
            </w:r>
            <w:r>
              <w:rPr>
                <w:rFonts w:hint="eastAsia" w:ascii="宋体" w:hAnsi="宋体" w:eastAsia="宋体" w:cs="宋体"/>
                <w:sz w:val="24"/>
                <w:szCs w:val="24"/>
                <w:lang w:eastAsia="zh-CN"/>
              </w:rPr>
              <w:t>”</w:t>
            </w:r>
            <w:r>
              <w:rPr>
                <w:rFonts w:hint="eastAsia" w:ascii="宋体" w:hAnsi="宋体" w:eastAsia="宋体" w:cs="宋体"/>
                <w:sz w:val="24"/>
                <w:szCs w:val="24"/>
              </w:rPr>
              <w:t>、女性称呼</w:t>
            </w:r>
            <w:r>
              <w:rPr>
                <w:rFonts w:hint="eastAsia" w:ascii="宋体" w:hAnsi="宋体" w:eastAsia="宋体" w:cs="宋体"/>
                <w:sz w:val="24"/>
                <w:szCs w:val="24"/>
                <w:lang w:eastAsia="zh-CN"/>
              </w:rPr>
              <w:t>“</w:t>
            </w:r>
            <w:r>
              <w:rPr>
                <w:rFonts w:hint="eastAsia" w:ascii="宋体" w:hAnsi="宋体" w:eastAsia="宋体" w:cs="宋体"/>
                <w:sz w:val="24"/>
                <w:szCs w:val="24"/>
              </w:rPr>
              <w:t>女士</w:t>
            </w:r>
            <w:r>
              <w:rPr>
                <w:rFonts w:hint="eastAsia" w:ascii="宋体" w:hAnsi="宋体" w:eastAsia="宋体" w:cs="宋体"/>
                <w:sz w:val="24"/>
                <w:szCs w:val="24"/>
                <w:lang w:eastAsia="zh-CN"/>
              </w:rPr>
              <w:t>”</w:t>
            </w:r>
            <w:r>
              <w:rPr>
                <w:rFonts w:hint="eastAsia" w:ascii="宋体" w:hAnsi="宋体" w:eastAsia="宋体" w:cs="宋体"/>
                <w:sz w:val="24"/>
                <w:szCs w:val="24"/>
              </w:rPr>
              <w:t>；老年人称呼按地方习惯；对儿童可称呼为</w:t>
            </w:r>
            <w:r>
              <w:rPr>
                <w:rFonts w:hint="eastAsia" w:ascii="宋体" w:hAnsi="宋体" w:eastAsia="宋体" w:cs="宋体"/>
                <w:sz w:val="24"/>
                <w:szCs w:val="24"/>
                <w:lang w:eastAsia="zh-CN"/>
              </w:rPr>
              <w:t>“</w:t>
            </w:r>
            <w:r>
              <w:rPr>
                <w:rFonts w:hint="eastAsia" w:ascii="宋体" w:hAnsi="宋体" w:eastAsia="宋体" w:cs="宋体"/>
                <w:sz w:val="24"/>
                <w:szCs w:val="24"/>
              </w:rPr>
              <w:t>小朋友</w:t>
            </w:r>
            <w:r>
              <w:rPr>
                <w:rFonts w:hint="eastAsia" w:ascii="宋体" w:hAnsi="宋体" w:eastAsia="宋体" w:cs="宋体"/>
                <w:sz w:val="24"/>
                <w:szCs w:val="24"/>
                <w:lang w:eastAsia="zh-CN"/>
              </w:rPr>
              <w:t>”</w:t>
            </w:r>
            <w:r>
              <w:rPr>
                <w:rFonts w:hint="eastAsia" w:ascii="宋体" w:hAnsi="宋体" w:eastAsia="宋体" w:cs="宋体"/>
                <w:sz w:val="24"/>
                <w:szCs w:val="24"/>
              </w:rPr>
              <w:t>；注意不宜称呼业主的全名。</w:t>
            </w:r>
          </w:p>
        </w:tc>
        <w:tc>
          <w:tcPr>
            <w:tcW w:w="576" w:type="dxa"/>
            <w:tcBorders>
              <w:tl2br w:val="nil"/>
              <w:tr2bl w:val="nil"/>
            </w:tcBorders>
            <w:noWrap w:val="0"/>
            <w:vAlign w:val="center"/>
          </w:tcPr>
          <w:p w14:paraId="617CCB3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0E05266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ED771F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262BFD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4" w:hRule="atLeast"/>
        </w:trPr>
        <w:tc>
          <w:tcPr>
            <w:tcW w:w="627" w:type="dxa"/>
            <w:vMerge w:val="restart"/>
            <w:tcBorders>
              <w:tl2br w:val="nil"/>
              <w:tr2bl w:val="nil"/>
            </w:tcBorders>
            <w:noWrap w:val="0"/>
            <w:vAlign w:val="center"/>
          </w:tcPr>
          <w:p w14:paraId="5D761AC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w:t>
            </w:r>
          </w:p>
        </w:tc>
        <w:tc>
          <w:tcPr>
            <w:tcW w:w="823" w:type="dxa"/>
            <w:vMerge w:val="restart"/>
            <w:tcBorders>
              <w:tl2br w:val="nil"/>
              <w:tr2bl w:val="nil"/>
            </w:tcBorders>
            <w:noWrap w:val="0"/>
            <w:vAlign w:val="center"/>
          </w:tcPr>
          <w:p w14:paraId="628F3CC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岗位要求</w:t>
            </w:r>
          </w:p>
        </w:tc>
        <w:tc>
          <w:tcPr>
            <w:tcW w:w="6272" w:type="dxa"/>
            <w:gridSpan w:val="2"/>
            <w:tcBorders>
              <w:tl2br w:val="nil"/>
              <w:tr2bl w:val="nil"/>
            </w:tcBorders>
            <w:noWrap w:val="0"/>
            <w:vAlign w:val="center"/>
          </w:tcPr>
          <w:p w14:paraId="076E7A4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熟知岗位职责、能掌握应知应会</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04DF1CF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860" w:type="dxa"/>
            <w:vMerge w:val="restart"/>
            <w:tcBorders>
              <w:tl2br w:val="nil"/>
              <w:tr2bl w:val="nil"/>
            </w:tcBorders>
            <w:noWrap w:val="0"/>
            <w:vAlign w:val="center"/>
          </w:tcPr>
          <w:p w14:paraId="1D965EF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21D4CAD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p>
        </w:tc>
      </w:tr>
      <w:tr w14:paraId="5C7D092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9" w:hRule="atLeast"/>
        </w:trPr>
        <w:tc>
          <w:tcPr>
            <w:tcW w:w="627" w:type="dxa"/>
            <w:vMerge w:val="continue"/>
            <w:tcBorders>
              <w:tl2br w:val="nil"/>
              <w:tr2bl w:val="nil"/>
            </w:tcBorders>
            <w:noWrap w:val="0"/>
            <w:vAlign w:val="center"/>
          </w:tcPr>
          <w:p w14:paraId="3A1B5A8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20B4AC3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3927900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2.在工作中使用语言要简洁准确、文明规范、接触客户时说话要和气，应使用“您好”、“请”、“您”、“谢谢”、“对不起”、“再见”等文明礼貌用语。</w:t>
            </w:r>
          </w:p>
        </w:tc>
        <w:tc>
          <w:tcPr>
            <w:tcW w:w="576" w:type="dxa"/>
            <w:tcBorders>
              <w:tl2br w:val="nil"/>
              <w:tr2bl w:val="nil"/>
            </w:tcBorders>
            <w:noWrap w:val="0"/>
            <w:vAlign w:val="center"/>
          </w:tcPr>
          <w:p w14:paraId="20DD363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72C3839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83904D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1B64E30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restart"/>
            <w:tcBorders>
              <w:tl2br w:val="nil"/>
              <w:tr2bl w:val="nil"/>
            </w:tcBorders>
            <w:noWrap w:val="0"/>
            <w:vAlign w:val="center"/>
          </w:tcPr>
          <w:p w14:paraId="58C6112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w:t>
            </w:r>
          </w:p>
        </w:tc>
        <w:tc>
          <w:tcPr>
            <w:tcW w:w="823" w:type="dxa"/>
            <w:vMerge w:val="restart"/>
            <w:tcBorders>
              <w:tl2br w:val="nil"/>
              <w:tr2bl w:val="nil"/>
            </w:tcBorders>
            <w:noWrap w:val="0"/>
            <w:vAlign w:val="center"/>
          </w:tcPr>
          <w:p w14:paraId="5AC9973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大厅、楼内公共通道</w:t>
            </w:r>
          </w:p>
        </w:tc>
        <w:tc>
          <w:tcPr>
            <w:tcW w:w="6272" w:type="dxa"/>
            <w:gridSpan w:val="2"/>
            <w:tcBorders>
              <w:tl2br w:val="nil"/>
              <w:tr2bl w:val="nil"/>
            </w:tcBorders>
            <w:noWrap w:val="0"/>
            <w:vAlign w:val="center"/>
          </w:tcPr>
          <w:p w14:paraId="2C954268">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大厅地面保持干净、无水渍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F21D28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860" w:type="dxa"/>
            <w:vMerge w:val="restart"/>
            <w:tcBorders>
              <w:tl2br w:val="nil"/>
              <w:tr2bl w:val="nil"/>
            </w:tcBorders>
            <w:noWrap w:val="0"/>
            <w:vAlign w:val="center"/>
          </w:tcPr>
          <w:p w14:paraId="49D9174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6011E29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p>
        </w:tc>
      </w:tr>
      <w:tr w14:paraId="01F2C27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3D67AD8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2984421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5E522F2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定期养护大理石、花岗石等材质</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F635AC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7720F1A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EDCB0A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9DC10C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1754A5E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03C480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BE489E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进出口地垫整洁</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05D208E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2D1D516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9EEED9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06487E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3420943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DC7E76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172575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公共通道的门框、窗框、窗台、金属件表面光亮、无尘、无污渍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633AB96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0193EC6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8FBF86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3C24C0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4B16F1B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BDD6DB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32F4FA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门窗玻璃干净、无尘，透光性好</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47928FD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5228532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F17260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D104B9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5374365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5896DC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C3CEEC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天花板无蛛网；灯具干净、无积尘</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2136668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678AE12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434CA9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58DC2EB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3C3EF43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5DE3C6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8E258C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空调风口干净、无污迹</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A3596B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2C3AA0E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E9F33E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1A77214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034C817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AB21EB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3020DA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指示牌干净、无污渍，指示醒目。</w:t>
            </w:r>
          </w:p>
        </w:tc>
        <w:tc>
          <w:tcPr>
            <w:tcW w:w="576" w:type="dxa"/>
            <w:tcBorders>
              <w:tl2br w:val="nil"/>
              <w:tr2bl w:val="nil"/>
            </w:tcBorders>
            <w:noWrap w:val="0"/>
            <w:vAlign w:val="center"/>
          </w:tcPr>
          <w:p w14:paraId="061B07C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77A149F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D2B34E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2FEEF05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627" w:type="dxa"/>
            <w:vMerge w:val="restart"/>
            <w:tcBorders>
              <w:tl2br w:val="nil"/>
              <w:tr2bl w:val="nil"/>
            </w:tcBorders>
            <w:noWrap w:val="0"/>
            <w:vAlign w:val="center"/>
          </w:tcPr>
          <w:p w14:paraId="3901FF2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四</w:t>
            </w:r>
          </w:p>
        </w:tc>
        <w:tc>
          <w:tcPr>
            <w:tcW w:w="823" w:type="dxa"/>
            <w:vMerge w:val="restart"/>
            <w:tcBorders>
              <w:tl2br w:val="nil"/>
              <w:tr2bl w:val="nil"/>
            </w:tcBorders>
            <w:noWrap w:val="0"/>
            <w:vAlign w:val="center"/>
          </w:tcPr>
          <w:p w14:paraId="12B41C0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楼梯及楼梯间</w:t>
            </w:r>
          </w:p>
        </w:tc>
        <w:tc>
          <w:tcPr>
            <w:tcW w:w="6272" w:type="dxa"/>
            <w:gridSpan w:val="2"/>
            <w:tcBorders>
              <w:tl2br w:val="nil"/>
              <w:tr2bl w:val="nil"/>
            </w:tcBorders>
            <w:noWrap w:val="0"/>
            <w:vAlign w:val="center"/>
          </w:tcPr>
          <w:p w14:paraId="5C2CDF2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梯步、扶手栏杆、防火门及闭门器表面干净、无尘、无污渍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397244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860" w:type="dxa"/>
            <w:vMerge w:val="restart"/>
            <w:tcBorders>
              <w:tl2br w:val="nil"/>
              <w:tr2bl w:val="nil"/>
            </w:tcBorders>
            <w:noWrap w:val="0"/>
            <w:vAlign w:val="center"/>
          </w:tcPr>
          <w:p w14:paraId="20B796A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p>
        </w:tc>
        <w:tc>
          <w:tcPr>
            <w:tcW w:w="584" w:type="dxa"/>
            <w:gridSpan w:val="2"/>
            <w:tcBorders>
              <w:tl2br w:val="nil"/>
              <w:tr2bl w:val="nil"/>
            </w:tcBorders>
            <w:noWrap w:val="0"/>
            <w:vAlign w:val="center"/>
          </w:tcPr>
          <w:p w14:paraId="4F5BFFD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p>
        </w:tc>
      </w:tr>
      <w:tr w14:paraId="136B16C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627" w:type="dxa"/>
            <w:vMerge w:val="continue"/>
            <w:tcBorders>
              <w:tl2br w:val="nil"/>
              <w:tr2bl w:val="nil"/>
            </w:tcBorders>
            <w:noWrap w:val="0"/>
            <w:vAlign w:val="center"/>
          </w:tcPr>
          <w:p w14:paraId="7416931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263AE46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692B4CD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防滑条（缝）干净；墙面、天花板无积尘、无蛛网。</w:t>
            </w:r>
          </w:p>
        </w:tc>
        <w:tc>
          <w:tcPr>
            <w:tcW w:w="576" w:type="dxa"/>
            <w:tcBorders>
              <w:tl2br w:val="nil"/>
              <w:tr2bl w:val="nil"/>
            </w:tcBorders>
            <w:noWrap w:val="0"/>
            <w:vAlign w:val="center"/>
          </w:tcPr>
          <w:p w14:paraId="1CDA1EC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60A46D5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26651E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52645B8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0" w:hRule="atLeast"/>
        </w:trPr>
        <w:tc>
          <w:tcPr>
            <w:tcW w:w="627" w:type="dxa"/>
            <w:vMerge w:val="restart"/>
            <w:tcBorders>
              <w:tl2br w:val="nil"/>
              <w:tr2bl w:val="nil"/>
            </w:tcBorders>
            <w:noWrap w:val="0"/>
            <w:vAlign w:val="center"/>
          </w:tcPr>
          <w:p w14:paraId="272F4FC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五</w:t>
            </w:r>
          </w:p>
        </w:tc>
        <w:tc>
          <w:tcPr>
            <w:tcW w:w="823" w:type="dxa"/>
            <w:vMerge w:val="restart"/>
            <w:tcBorders>
              <w:tl2br w:val="nil"/>
              <w:tr2bl w:val="nil"/>
            </w:tcBorders>
            <w:noWrap w:val="0"/>
            <w:vAlign w:val="center"/>
          </w:tcPr>
          <w:p w14:paraId="14DDD92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开水间及清洁间</w:t>
            </w:r>
          </w:p>
        </w:tc>
        <w:tc>
          <w:tcPr>
            <w:tcW w:w="6272" w:type="dxa"/>
            <w:gridSpan w:val="2"/>
            <w:tcBorders>
              <w:tl2br w:val="nil"/>
              <w:tr2bl w:val="nil"/>
            </w:tcBorders>
            <w:noWrap w:val="0"/>
            <w:vAlign w:val="center"/>
          </w:tcPr>
          <w:p w14:paraId="7282E2A3">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地面干净、无杂物、无积水</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589C89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860" w:type="dxa"/>
            <w:vMerge w:val="restart"/>
            <w:tcBorders>
              <w:tl2br w:val="nil"/>
              <w:tr2bl w:val="nil"/>
            </w:tcBorders>
            <w:noWrap w:val="0"/>
            <w:vAlign w:val="center"/>
          </w:tcPr>
          <w:p w14:paraId="1CF346F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39C1C2B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p>
        </w:tc>
      </w:tr>
      <w:tr w14:paraId="5362D44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0" w:hRule="atLeast"/>
        </w:trPr>
        <w:tc>
          <w:tcPr>
            <w:tcW w:w="627" w:type="dxa"/>
            <w:vMerge w:val="continue"/>
            <w:tcBorders>
              <w:tl2br w:val="nil"/>
              <w:tr2bl w:val="nil"/>
            </w:tcBorders>
            <w:noWrap w:val="0"/>
            <w:vAlign w:val="center"/>
          </w:tcPr>
          <w:p w14:paraId="3F19430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3FBD2D1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4E61A81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天花板无蛛网</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D73596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2D1B005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0E0051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2EEC78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2" w:hRule="atLeast"/>
        </w:trPr>
        <w:tc>
          <w:tcPr>
            <w:tcW w:w="627" w:type="dxa"/>
            <w:vMerge w:val="continue"/>
            <w:tcBorders>
              <w:tl2br w:val="nil"/>
              <w:tr2bl w:val="nil"/>
            </w:tcBorders>
            <w:noWrap w:val="0"/>
            <w:vAlign w:val="center"/>
          </w:tcPr>
          <w:p w14:paraId="1BA3317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32B0AF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9F7E9B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灯罩表面无积尘</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288409F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1BBBB58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D8B9B3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74F9334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0" w:hRule="atLeast"/>
        </w:trPr>
        <w:tc>
          <w:tcPr>
            <w:tcW w:w="627" w:type="dxa"/>
            <w:vMerge w:val="continue"/>
            <w:tcBorders>
              <w:tl2br w:val="nil"/>
              <w:tr2bl w:val="nil"/>
            </w:tcBorders>
            <w:noWrap w:val="0"/>
            <w:vAlign w:val="center"/>
          </w:tcPr>
          <w:p w14:paraId="40B2EB4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89033D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E35291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墙面干净、无污渍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60894AA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05D5860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626746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EAAFD0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627" w:type="dxa"/>
            <w:vMerge w:val="continue"/>
            <w:tcBorders>
              <w:tl2br w:val="nil"/>
              <w:tr2bl w:val="nil"/>
            </w:tcBorders>
            <w:noWrap w:val="0"/>
            <w:vAlign w:val="center"/>
          </w:tcPr>
          <w:p w14:paraId="27BAD14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842F1A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10F632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各种物品表面干净、无渍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2557CEA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6CF180C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47B045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6D8321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trPr>
        <w:tc>
          <w:tcPr>
            <w:tcW w:w="627" w:type="dxa"/>
            <w:vMerge w:val="continue"/>
            <w:tcBorders>
              <w:tl2br w:val="nil"/>
              <w:tr2bl w:val="nil"/>
            </w:tcBorders>
            <w:noWrap w:val="0"/>
            <w:vAlign w:val="center"/>
          </w:tcPr>
          <w:p w14:paraId="685AF4D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6067C8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2FC97F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清洁工具摆放整齐有序。</w:t>
            </w:r>
          </w:p>
        </w:tc>
        <w:tc>
          <w:tcPr>
            <w:tcW w:w="576" w:type="dxa"/>
            <w:tcBorders>
              <w:tl2br w:val="nil"/>
              <w:tr2bl w:val="nil"/>
            </w:tcBorders>
            <w:noWrap w:val="0"/>
            <w:vAlign w:val="center"/>
          </w:tcPr>
          <w:p w14:paraId="07F4701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7B51FCD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2294A7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E4171B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restart"/>
            <w:tcBorders>
              <w:tl2br w:val="nil"/>
              <w:tr2bl w:val="nil"/>
            </w:tcBorders>
            <w:noWrap w:val="0"/>
            <w:vAlign w:val="center"/>
          </w:tcPr>
          <w:p w14:paraId="32284C5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六</w:t>
            </w:r>
          </w:p>
        </w:tc>
        <w:tc>
          <w:tcPr>
            <w:tcW w:w="823" w:type="dxa"/>
            <w:vMerge w:val="restart"/>
            <w:tcBorders>
              <w:tl2br w:val="nil"/>
              <w:tr2bl w:val="nil"/>
            </w:tcBorders>
            <w:noWrap w:val="0"/>
            <w:vAlign w:val="center"/>
          </w:tcPr>
          <w:p w14:paraId="6DE7A18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卫生间</w:t>
            </w:r>
          </w:p>
        </w:tc>
        <w:tc>
          <w:tcPr>
            <w:tcW w:w="6272" w:type="dxa"/>
            <w:gridSpan w:val="2"/>
            <w:tcBorders>
              <w:tl2br w:val="nil"/>
              <w:tr2bl w:val="nil"/>
            </w:tcBorders>
            <w:noWrap w:val="0"/>
            <w:vAlign w:val="center"/>
          </w:tcPr>
          <w:p w14:paraId="3408843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地面干净、无污渍、无积水</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AA699A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860" w:type="dxa"/>
            <w:vMerge w:val="restart"/>
            <w:tcBorders>
              <w:tl2br w:val="nil"/>
              <w:tr2bl w:val="nil"/>
            </w:tcBorders>
            <w:noWrap w:val="0"/>
            <w:vAlign w:val="center"/>
          </w:tcPr>
          <w:p w14:paraId="7E7F844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4F4C28B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rPr>
            </w:pPr>
          </w:p>
        </w:tc>
      </w:tr>
      <w:tr w14:paraId="44543D2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0C87872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15943BB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7668F4F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洁具洁净、无污渍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0C1B52B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65CF823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79948D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0B0916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548B4E7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2C950E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D3A64F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门窗、墙壁、隔断、玻璃、窗台表面干净、无污迹，金属饰件有金属光泽</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08B434C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49D46B7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F7B6B1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176720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7BFD0DD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FE0368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2FE84E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天花板表面无蛛网</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66D7933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6F1E815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DD510C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F5614E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7B4F86F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14ADB7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514FA7B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换气扇表面无积尘</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39F289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6939B05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CA7AE0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AE9866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trPr>
        <w:tc>
          <w:tcPr>
            <w:tcW w:w="627" w:type="dxa"/>
            <w:vMerge w:val="continue"/>
            <w:tcBorders>
              <w:tl2br w:val="nil"/>
              <w:tr2bl w:val="nil"/>
            </w:tcBorders>
            <w:noWrap w:val="0"/>
            <w:vAlign w:val="center"/>
          </w:tcPr>
          <w:p w14:paraId="0DF12A2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86CE25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EDD384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洗手台干净、无污垢</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4A8C82C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47A41E3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1C1FEF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2D28B5E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2434BC7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FC3E4C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D5EEC1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保持空气流通、无明显异味。</w:t>
            </w:r>
          </w:p>
        </w:tc>
        <w:tc>
          <w:tcPr>
            <w:tcW w:w="576" w:type="dxa"/>
            <w:tcBorders>
              <w:tl2br w:val="nil"/>
              <w:tr2bl w:val="nil"/>
            </w:tcBorders>
            <w:noWrap w:val="0"/>
            <w:vAlign w:val="center"/>
          </w:tcPr>
          <w:p w14:paraId="149128A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451047A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0E9141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1C8F2C6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627" w:type="dxa"/>
            <w:vMerge w:val="restart"/>
            <w:tcBorders>
              <w:tl2br w:val="nil"/>
              <w:tr2bl w:val="nil"/>
            </w:tcBorders>
            <w:noWrap w:val="0"/>
            <w:vAlign w:val="center"/>
          </w:tcPr>
          <w:p w14:paraId="34908D0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七</w:t>
            </w:r>
          </w:p>
        </w:tc>
        <w:tc>
          <w:tcPr>
            <w:tcW w:w="823" w:type="dxa"/>
            <w:vMerge w:val="restart"/>
            <w:tcBorders>
              <w:tl2br w:val="nil"/>
              <w:tr2bl w:val="nil"/>
            </w:tcBorders>
            <w:noWrap w:val="0"/>
            <w:vAlign w:val="center"/>
          </w:tcPr>
          <w:p w14:paraId="2CEB52A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电梯轿厢</w:t>
            </w:r>
          </w:p>
        </w:tc>
        <w:tc>
          <w:tcPr>
            <w:tcW w:w="6272" w:type="dxa"/>
            <w:gridSpan w:val="2"/>
            <w:tcBorders>
              <w:tl2br w:val="nil"/>
              <w:tr2bl w:val="nil"/>
            </w:tcBorders>
            <w:noWrap w:val="0"/>
            <w:vAlign w:val="center"/>
          </w:tcPr>
          <w:p w14:paraId="5F1BAAAB">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每日擦拭轿厢门、面板，清拖轿厢地面</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089EEF3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restart"/>
            <w:tcBorders>
              <w:tl2br w:val="nil"/>
              <w:tr2bl w:val="nil"/>
            </w:tcBorders>
            <w:noWrap w:val="0"/>
            <w:vAlign w:val="center"/>
          </w:tcPr>
          <w:p w14:paraId="19B8E54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0F135FB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r>
      <w:tr w14:paraId="12430DD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627" w:type="dxa"/>
            <w:vMerge w:val="continue"/>
            <w:tcBorders>
              <w:tl2br w:val="nil"/>
              <w:tr2bl w:val="nil"/>
            </w:tcBorders>
            <w:noWrap w:val="0"/>
            <w:vAlign w:val="center"/>
          </w:tcPr>
          <w:p w14:paraId="3DC0D2C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2B04514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148F217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轿厢内无污渍、无粘贴物</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3F7091B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0927930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0E5364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59CA688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627" w:type="dxa"/>
            <w:vMerge w:val="continue"/>
            <w:tcBorders>
              <w:tl2br w:val="nil"/>
              <w:tr2bl w:val="nil"/>
            </w:tcBorders>
            <w:noWrap w:val="0"/>
            <w:vAlign w:val="center"/>
          </w:tcPr>
          <w:p w14:paraId="015BC7A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3D1C63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57B7C98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灯具、操作指示板明亮</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F1F1A8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0CE8883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C4C451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72F0E5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trPr>
        <w:tc>
          <w:tcPr>
            <w:tcW w:w="627" w:type="dxa"/>
            <w:vMerge w:val="continue"/>
            <w:tcBorders>
              <w:tl2br w:val="nil"/>
              <w:tr2bl w:val="nil"/>
            </w:tcBorders>
            <w:noWrap w:val="0"/>
            <w:vAlign w:val="center"/>
          </w:tcPr>
          <w:p w14:paraId="52A6BDA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EE94E2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90EAB5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厢内地面干净、无异味</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3722802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590BCA6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740921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75472D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627" w:type="dxa"/>
            <w:vMerge w:val="continue"/>
            <w:tcBorders>
              <w:tl2br w:val="nil"/>
              <w:tr2bl w:val="nil"/>
            </w:tcBorders>
            <w:noWrap w:val="0"/>
            <w:vAlign w:val="center"/>
          </w:tcPr>
          <w:p w14:paraId="7BDDA3D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CBF16D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59524B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电梯门槽内无垃圾、无杂物。</w:t>
            </w:r>
          </w:p>
        </w:tc>
        <w:tc>
          <w:tcPr>
            <w:tcW w:w="576" w:type="dxa"/>
            <w:tcBorders>
              <w:tl2br w:val="nil"/>
              <w:tr2bl w:val="nil"/>
            </w:tcBorders>
            <w:noWrap w:val="0"/>
            <w:vAlign w:val="center"/>
          </w:tcPr>
          <w:p w14:paraId="4DF3C60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78BD4B7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0AE2A8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7F85292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1" w:hRule="atLeast"/>
        </w:trPr>
        <w:tc>
          <w:tcPr>
            <w:tcW w:w="627" w:type="dxa"/>
            <w:vMerge w:val="restart"/>
            <w:tcBorders>
              <w:tl2br w:val="nil"/>
              <w:tr2bl w:val="nil"/>
            </w:tcBorders>
            <w:noWrap w:val="0"/>
            <w:vAlign w:val="center"/>
          </w:tcPr>
          <w:p w14:paraId="084944B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八</w:t>
            </w:r>
          </w:p>
        </w:tc>
        <w:tc>
          <w:tcPr>
            <w:tcW w:w="823" w:type="dxa"/>
            <w:vMerge w:val="restart"/>
            <w:tcBorders>
              <w:tl2br w:val="nil"/>
              <w:tr2bl w:val="nil"/>
            </w:tcBorders>
            <w:noWrap w:val="0"/>
            <w:vAlign w:val="center"/>
          </w:tcPr>
          <w:p w14:paraId="2F6D7F3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宋体" w:hAnsi="宋体" w:eastAsia="宋体" w:cs="宋体"/>
                <w:kern w:val="0"/>
                <w:sz w:val="24"/>
                <w:szCs w:val="24"/>
                <w:lang w:val="en-US" w:eastAsia="zh-CN"/>
              </w:rPr>
            </w:pPr>
            <w:r>
              <w:rPr>
                <w:rFonts w:hint="eastAsia" w:ascii="宋体" w:hAnsi="宋体" w:cs="宋体"/>
                <w:b w:val="0"/>
                <w:bCs w:val="0"/>
                <w:sz w:val="24"/>
                <w:szCs w:val="24"/>
                <w:highlight w:val="none"/>
                <w:lang w:val="en-US" w:eastAsia="zh-CN"/>
              </w:rPr>
              <w:t>前台服务</w:t>
            </w:r>
          </w:p>
        </w:tc>
        <w:tc>
          <w:tcPr>
            <w:tcW w:w="6272" w:type="dxa"/>
            <w:gridSpan w:val="2"/>
            <w:tcBorders>
              <w:tl2br w:val="nil"/>
              <w:tr2bl w:val="nil"/>
            </w:tcBorders>
            <w:noWrap w:val="0"/>
            <w:vAlign w:val="center"/>
          </w:tcPr>
          <w:p w14:paraId="1422C4E1">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spacing w:val="-1"/>
                <w:sz w:val="24"/>
                <w:szCs w:val="24"/>
                <w:lang w:val="en-US" w:eastAsia="zh-CN"/>
              </w:rPr>
              <w:t>主动询问，登记信息准确，及时联系被访人，准确核实工作人员身份。</w:t>
            </w:r>
          </w:p>
        </w:tc>
        <w:tc>
          <w:tcPr>
            <w:tcW w:w="576" w:type="dxa"/>
            <w:tcBorders>
              <w:tl2br w:val="nil"/>
              <w:tr2bl w:val="nil"/>
            </w:tcBorders>
            <w:noWrap w:val="0"/>
            <w:vAlign w:val="center"/>
          </w:tcPr>
          <w:p w14:paraId="6D675A5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0" w:type="dxa"/>
            <w:vMerge w:val="restart"/>
            <w:tcBorders>
              <w:tl2br w:val="nil"/>
              <w:tr2bl w:val="nil"/>
            </w:tcBorders>
            <w:noWrap w:val="0"/>
            <w:vAlign w:val="center"/>
          </w:tcPr>
          <w:p w14:paraId="78996AE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78C608D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sz w:val="24"/>
                <w:szCs w:val="24"/>
                <w:lang w:val="en-US" w:eastAsia="zh-CN"/>
              </w:rPr>
            </w:pPr>
          </w:p>
        </w:tc>
      </w:tr>
      <w:tr w14:paraId="36932E1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5" w:hRule="atLeast"/>
        </w:trPr>
        <w:tc>
          <w:tcPr>
            <w:tcW w:w="627" w:type="dxa"/>
            <w:vMerge w:val="continue"/>
            <w:tcBorders>
              <w:tl2br w:val="nil"/>
              <w:tr2bl w:val="nil"/>
            </w:tcBorders>
            <w:noWrap w:val="0"/>
            <w:vAlign w:val="center"/>
          </w:tcPr>
          <w:p w14:paraId="1208F0A6">
            <w:pPr>
              <w:keepNext w:val="0"/>
              <w:keepLines w:val="0"/>
              <w:pageBreakBefore w:val="0"/>
              <w:widowControl w:val="0"/>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18C7A301">
            <w:pPr>
              <w:keepNext w:val="0"/>
              <w:keepLines w:val="0"/>
              <w:pageBreakBefore w:val="0"/>
              <w:widowControl w:val="0"/>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39DA339A">
            <w:pPr>
              <w:widowControl/>
              <w:spacing w:line="360" w:lineRule="auto"/>
              <w:jc w:val="left"/>
              <w:rPr>
                <w:rFonts w:hint="default" w:ascii="宋体" w:hAnsi="宋体" w:eastAsia="宋体" w:cs="宋体"/>
                <w:spacing w:val="-1"/>
                <w:sz w:val="24"/>
                <w:szCs w:val="24"/>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cs="宋体"/>
                <w:spacing w:val="-1"/>
                <w:sz w:val="24"/>
                <w:szCs w:val="24"/>
                <w:lang w:val="en-US" w:eastAsia="zh-CN"/>
              </w:rPr>
              <w:t>听从安排，认真完成领导布置的内勤工作。</w:t>
            </w:r>
          </w:p>
          <w:p w14:paraId="4FC157A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b w:val="0"/>
                <w:bCs w:val="0"/>
                <w:sz w:val="24"/>
                <w:szCs w:val="24"/>
                <w:highlight w:val="none"/>
                <w:lang w:val="en-US" w:eastAsia="zh-CN"/>
              </w:rPr>
            </w:pPr>
          </w:p>
        </w:tc>
        <w:tc>
          <w:tcPr>
            <w:tcW w:w="576" w:type="dxa"/>
            <w:tcBorders>
              <w:tl2br w:val="nil"/>
              <w:tr2bl w:val="nil"/>
            </w:tcBorders>
            <w:noWrap w:val="0"/>
            <w:vAlign w:val="center"/>
          </w:tcPr>
          <w:p w14:paraId="49CDD5C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2ABB8DA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D749E3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b w:val="0"/>
                <w:bCs w:val="0"/>
                <w:sz w:val="24"/>
                <w:szCs w:val="24"/>
                <w:highlight w:val="none"/>
                <w:lang w:val="en-US" w:eastAsia="zh-CN"/>
              </w:rPr>
            </w:pPr>
          </w:p>
        </w:tc>
      </w:tr>
      <w:tr w14:paraId="0D3F805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5" w:hRule="atLeast"/>
        </w:trPr>
        <w:tc>
          <w:tcPr>
            <w:tcW w:w="627" w:type="dxa"/>
            <w:vMerge w:val="restart"/>
            <w:tcBorders>
              <w:tl2br w:val="nil"/>
              <w:tr2bl w:val="nil"/>
            </w:tcBorders>
            <w:noWrap w:val="0"/>
            <w:vAlign w:val="center"/>
          </w:tcPr>
          <w:p w14:paraId="3C39BBD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九</w:t>
            </w:r>
          </w:p>
        </w:tc>
        <w:tc>
          <w:tcPr>
            <w:tcW w:w="823" w:type="dxa"/>
            <w:vMerge w:val="restart"/>
            <w:tcBorders>
              <w:tl2br w:val="nil"/>
              <w:tr2bl w:val="nil"/>
            </w:tcBorders>
            <w:noWrap w:val="0"/>
            <w:vAlign w:val="center"/>
          </w:tcPr>
          <w:p w14:paraId="523A9AF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rPr>
              <w:t>平台、屋顶</w:t>
            </w:r>
          </w:p>
        </w:tc>
        <w:tc>
          <w:tcPr>
            <w:tcW w:w="6272" w:type="dxa"/>
            <w:gridSpan w:val="2"/>
            <w:tcBorders>
              <w:tl2br w:val="nil"/>
              <w:tr2bl w:val="nil"/>
            </w:tcBorders>
            <w:noWrap w:val="0"/>
            <w:vAlign w:val="center"/>
          </w:tcPr>
          <w:p w14:paraId="33CB509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定期清扫，雨季期间每半月清扫1次</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020AD2B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0" w:type="dxa"/>
            <w:vMerge w:val="restart"/>
            <w:tcBorders>
              <w:tl2br w:val="nil"/>
              <w:tr2bl w:val="nil"/>
            </w:tcBorders>
            <w:noWrap w:val="0"/>
            <w:vAlign w:val="center"/>
          </w:tcPr>
          <w:p w14:paraId="12036B0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63DF3D1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66FD0F5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6" w:hRule="atLeast"/>
        </w:trPr>
        <w:tc>
          <w:tcPr>
            <w:tcW w:w="627" w:type="dxa"/>
            <w:vMerge w:val="continue"/>
            <w:tcBorders>
              <w:tl2br w:val="nil"/>
              <w:tr2bl w:val="nil"/>
            </w:tcBorders>
            <w:noWrap w:val="0"/>
            <w:vAlign w:val="center"/>
          </w:tcPr>
          <w:p w14:paraId="0C25C24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2756C783">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746A83A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定期巡查天台、内天井，有杂物及时清扫。</w:t>
            </w:r>
          </w:p>
        </w:tc>
        <w:tc>
          <w:tcPr>
            <w:tcW w:w="576" w:type="dxa"/>
            <w:tcBorders>
              <w:tl2br w:val="nil"/>
              <w:tr2bl w:val="nil"/>
            </w:tcBorders>
            <w:noWrap w:val="0"/>
            <w:vAlign w:val="center"/>
          </w:tcPr>
          <w:p w14:paraId="2B87230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3D021B8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CE5664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66613DD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3" w:hRule="atLeast"/>
        </w:trPr>
        <w:tc>
          <w:tcPr>
            <w:tcW w:w="627" w:type="dxa"/>
            <w:tcBorders>
              <w:tl2br w:val="nil"/>
              <w:tr2bl w:val="nil"/>
            </w:tcBorders>
            <w:noWrap w:val="0"/>
            <w:vAlign w:val="center"/>
          </w:tcPr>
          <w:p w14:paraId="45F078A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十</w:t>
            </w:r>
          </w:p>
        </w:tc>
        <w:tc>
          <w:tcPr>
            <w:tcW w:w="823" w:type="dxa"/>
            <w:tcBorders>
              <w:tl2br w:val="nil"/>
              <w:tr2bl w:val="nil"/>
            </w:tcBorders>
            <w:noWrap w:val="0"/>
            <w:vAlign w:val="center"/>
          </w:tcPr>
          <w:p w14:paraId="27E3F9A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rPr>
              <w:t>外墙</w:t>
            </w:r>
          </w:p>
        </w:tc>
        <w:tc>
          <w:tcPr>
            <w:tcW w:w="6272" w:type="dxa"/>
            <w:gridSpan w:val="2"/>
            <w:tcBorders>
              <w:tl2br w:val="nil"/>
              <w:tr2bl w:val="nil"/>
            </w:tcBorders>
            <w:noWrap w:val="0"/>
            <w:vAlign w:val="center"/>
          </w:tcPr>
          <w:p w14:paraId="2FDD7874">
            <w:pPr>
              <w:widowControl/>
              <w:spacing w:line="360" w:lineRule="auto"/>
              <w:ind w:firstLine="476" w:firstLineChars="200"/>
              <w:jc w:val="left"/>
              <w:rPr>
                <w:rFonts w:hint="eastAsia" w:ascii="宋体" w:hAnsi="宋体" w:eastAsia="宋体" w:cs="宋体"/>
                <w:spacing w:val="-1"/>
                <w:sz w:val="24"/>
                <w:szCs w:val="24"/>
              </w:rPr>
            </w:pPr>
          </w:p>
          <w:p w14:paraId="54881F33">
            <w:pPr>
              <w:widowControl/>
              <w:spacing w:line="360" w:lineRule="auto"/>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依规清洗外墙一层玻璃，先制定方案、设置标识，再用专业设备与清洁剂操作。保证玻璃外观整洁，无污渍、灰尘堆积。</w:t>
            </w:r>
          </w:p>
          <w:p w14:paraId="641927D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kern w:val="0"/>
                <w:sz w:val="24"/>
                <w:szCs w:val="24"/>
                <w:lang w:eastAsia="zh-CN"/>
              </w:rPr>
            </w:pPr>
          </w:p>
        </w:tc>
        <w:tc>
          <w:tcPr>
            <w:tcW w:w="576" w:type="dxa"/>
            <w:tcBorders>
              <w:tl2br w:val="nil"/>
              <w:tr2bl w:val="nil"/>
            </w:tcBorders>
            <w:noWrap w:val="0"/>
            <w:vAlign w:val="center"/>
          </w:tcPr>
          <w:p w14:paraId="7E58855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tcBorders>
              <w:tl2br w:val="nil"/>
              <w:tr2bl w:val="nil"/>
            </w:tcBorders>
            <w:noWrap w:val="0"/>
            <w:vAlign w:val="center"/>
          </w:tcPr>
          <w:p w14:paraId="014787F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444B10B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60C0998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restart"/>
            <w:tcBorders>
              <w:tl2br w:val="nil"/>
              <w:tr2bl w:val="nil"/>
            </w:tcBorders>
            <w:noWrap w:val="0"/>
            <w:vAlign w:val="center"/>
          </w:tcPr>
          <w:p w14:paraId="2B13298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十一</w:t>
            </w:r>
          </w:p>
        </w:tc>
        <w:tc>
          <w:tcPr>
            <w:tcW w:w="823" w:type="dxa"/>
            <w:vMerge w:val="restart"/>
            <w:tcBorders>
              <w:tl2br w:val="nil"/>
              <w:tr2bl w:val="nil"/>
            </w:tcBorders>
            <w:noWrap w:val="0"/>
            <w:vAlign w:val="center"/>
          </w:tcPr>
          <w:p w14:paraId="1265DA4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院落</w:t>
            </w:r>
          </w:p>
        </w:tc>
        <w:tc>
          <w:tcPr>
            <w:tcW w:w="6272" w:type="dxa"/>
            <w:gridSpan w:val="2"/>
            <w:tcBorders>
              <w:tl2br w:val="nil"/>
              <w:tr2bl w:val="nil"/>
            </w:tcBorders>
            <w:noWrap w:val="0"/>
            <w:vAlign w:val="center"/>
          </w:tcPr>
          <w:p w14:paraId="759C348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每日清扫道路地面，在雨、雪天气及时清扫道路积水、积雪，保持干净、无杂物、无积水、无污迹</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4D8280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restart"/>
            <w:tcBorders>
              <w:tl2br w:val="nil"/>
              <w:tr2bl w:val="nil"/>
            </w:tcBorders>
            <w:noWrap w:val="0"/>
            <w:vAlign w:val="center"/>
          </w:tcPr>
          <w:p w14:paraId="6DE7B7F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1CD8EF8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0535155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303426BA">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5F0E525A">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62D445E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沟渠、池、井内无杂物、无异味</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8EEEBF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6F1D7B4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B7A4DB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7466D23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5365414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6748BC6">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2D260C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各种路标、标志、宣传栏表面干净、无积尘、无水印</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33DA335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3076DEC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34E6CB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38BBA9F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63C93921">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7EF6890">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E1C1A7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定期清洁室外照明及共用设施</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739FA3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0CE5772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FF4C17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45346D8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19A8ABA6">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16C211B">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B4A232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定期清洁属高空作业范围的路灯、景观灯等，表面无污渍。</w:t>
            </w:r>
          </w:p>
        </w:tc>
        <w:tc>
          <w:tcPr>
            <w:tcW w:w="576" w:type="dxa"/>
            <w:tcBorders>
              <w:tl2br w:val="nil"/>
              <w:tr2bl w:val="nil"/>
            </w:tcBorders>
            <w:noWrap w:val="0"/>
            <w:vAlign w:val="center"/>
          </w:tcPr>
          <w:p w14:paraId="65A562A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1E2CDAA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CA8FE3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680CC18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2" w:hRule="atLeast"/>
        </w:trPr>
        <w:tc>
          <w:tcPr>
            <w:tcW w:w="627" w:type="dxa"/>
            <w:vMerge w:val="restart"/>
            <w:tcBorders>
              <w:tl2br w:val="nil"/>
              <w:tr2bl w:val="nil"/>
            </w:tcBorders>
            <w:noWrap w:val="0"/>
            <w:vAlign w:val="center"/>
          </w:tcPr>
          <w:p w14:paraId="747CF91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十二</w:t>
            </w:r>
          </w:p>
        </w:tc>
        <w:tc>
          <w:tcPr>
            <w:tcW w:w="823" w:type="dxa"/>
            <w:vMerge w:val="restart"/>
            <w:tcBorders>
              <w:tl2br w:val="nil"/>
              <w:tr2bl w:val="nil"/>
            </w:tcBorders>
            <w:noWrap w:val="0"/>
            <w:vAlign w:val="center"/>
          </w:tcPr>
          <w:p w14:paraId="4008168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宋体" w:hAnsi="宋体" w:eastAsia="宋体" w:cs="宋体"/>
                <w:kern w:val="0"/>
                <w:sz w:val="24"/>
                <w:szCs w:val="24"/>
                <w:lang w:val="en-US" w:eastAsia="zh-CN"/>
              </w:rPr>
            </w:pPr>
            <w:r>
              <w:rPr>
                <w:rFonts w:hint="eastAsia" w:ascii="宋体" w:hAnsi="宋体" w:cs="宋体"/>
                <w:b w:val="0"/>
                <w:bCs w:val="0"/>
                <w:sz w:val="24"/>
                <w:szCs w:val="24"/>
                <w:highlight w:val="none"/>
                <w:lang w:val="en-US" w:eastAsia="zh-CN"/>
              </w:rPr>
              <w:t>四害消杀</w:t>
            </w:r>
          </w:p>
        </w:tc>
        <w:tc>
          <w:tcPr>
            <w:tcW w:w="6272" w:type="dxa"/>
            <w:gridSpan w:val="2"/>
            <w:tcBorders>
              <w:tl2br w:val="nil"/>
              <w:tr2bl w:val="nil"/>
            </w:tcBorders>
            <w:noWrap w:val="0"/>
            <w:vAlign w:val="center"/>
          </w:tcPr>
          <w:p w14:paraId="1232CBF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default" w:ascii="宋体" w:hAnsi="宋体" w:eastAsia="宋体" w:cs="宋体"/>
                <w:spacing w:val="-1"/>
                <w:sz w:val="24"/>
                <w:szCs w:val="24"/>
                <w:lang w:val="en-US" w:eastAsia="zh-CN"/>
              </w:rPr>
              <w:t>所承包的防治项目,应有首次杀灭作业前的现场密度检测记录</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6189970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restart"/>
            <w:tcBorders>
              <w:tl2br w:val="nil"/>
              <w:tr2bl w:val="nil"/>
            </w:tcBorders>
            <w:noWrap w:val="0"/>
            <w:vAlign w:val="center"/>
          </w:tcPr>
          <w:p w14:paraId="0697F40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0DC3289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54A5044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trPr>
        <w:tc>
          <w:tcPr>
            <w:tcW w:w="627" w:type="dxa"/>
            <w:vMerge w:val="continue"/>
            <w:tcBorders>
              <w:tl2br w:val="nil"/>
              <w:tr2bl w:val="nil"/>
            </w:tcBorders>
            <w:noWrap w:val="0"/>
            <w:vAlign w:val="center"/>
          </w:tcPr>
          <w:p w14:paraId="286DD0EA">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3F786149">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12070F5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default" w:ascii="宋体" w:hAnsi="宋体" w:eastAsia="宋体" w:cs="宋体"/>
                <w:spacing w:val="-1"/>
                <w:sz w:val="24"/>
                <w:szCs w:val="24"/>
                <w:lang w:val="en-US" w:eastAsia="zh-CN"/>
              </w:rPr>
              <w:t>确保在承包期内所负责的有害生物防治项目鼠害密度控制在不足危害程度；国﹑省﹑市级检查中成虫密度控制在国家规定四害消杀标准以内</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02AFE1B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0A2498C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8F3ED4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2612C50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trPr>
        <w:tc>
          <w:tcPr>
            <w:tcW w:w="627" w:type="dxa"/>
            <w:vMerge w:val="continue"/>
            <w:tcBorders>
              <w:tl2br w:val="nil"/>
              <w:tr2bl w:val="nil"/>
            </w:tcBorders>
            <w:noWrap w:val="0"/>
            <w:vAlign w:val="center"/>
          </w:tcPr>
          <w:p w14:paraId="1ECF1B0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B33E19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rPr>
            </w:pPr>
          </w:p>
        </w:tc>
        <w:tc>
          <w:tcPr>
            <w:tcW w:w="6272" w:type="dxa"/>
            <w:gridSpan w:val="2"/>
            <w:tcBorders>
              <w:tl2br w:val="nil"/>
              <w:tr2bl w:val="nil"/>
            </w:tcBorders>
            <w:noWrap w:val="0"/>
            <w:vAlign w:val="center"/>
          </w:tcPr>
          <w:p w14:paraId="5D155EAF">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default" w:ascii="宋体" w:hAnsi="宋体" w:eastAsia="宋体" w:cs="宋体"/>
                <w:spacing w:val="-1"/>
                <w:sz w:val="24"/>
                <w:szCs w:val="24"/>
                <w:lang w:val="en-US" w:eastAsia="zh-CN"/>
              </w:rPr>
              <w:t>每次杀灭作业应及时到位,入场工作人员不得违反甲方明文公示的各项规章制度</w:t>
            </w:r>
            <w:r>
              <w:rPr>
                <w:rFonts w:hint="eastAsia" w:ascii="宋体" w:hAnsi="宋体" w:eastAsia="宋体" w:cs="宋体"/>
                <w:b w:val="0"/>
                <w:bCs w:val="0"/>
                <w:sz w:val="24"/>
                <w:szCs w:val="24"/>
                <w:highlight w:val="none"/>
              </w:rPr>
              <w:t>。</w:t>
            </w:r>
          </w:p>
        </w:tc>
        <w:tc>
          <w:tcPr>
            <w:tcW w:w="576" w:type="dxa"/>
            <w:tcBorders>
              <w:tl2br w:val="nil"/>
              <w:tr2bl w:val="nil"/>
            </w:tcBorders>
            <w:noWrap w:val="0"/>
            <w:vAlign w:val="center"/>
          </w:tcPr>
          <w:p w14:paraId="74D3287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continue"/>
            <w:tcBorders>
              <w:tl2br w:val="nil"/>
              <w:tr2bl w:val="nil"/>
            </w:tcBorders>
            <w:noWrap w:val="0"/>
            <w:vAlign w:val="center"/>
          </w:tcPr>
          <w:p w14:paraId="3FC5FBF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7C0A8A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760915D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trPr>
        <w:tc>
          <w:tcPr>
            <w:tcW w:w="627" w:type="dxa"/>
            <w:vMerge w:val="restart"/>
            <w:tcBorders>
              <w:tl2br w:val="nil"/>
              <w:tr2bl w:val="nil"/>
            </w:tcBorders>
            <w:noWrap w:val="0"/>
            <w:vAlign w:val="center"/>
          </w:tcPr>
          <w:p w14:paraId="11F2CB5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十三</w:t>
            </w:r>
          </w:p>
        </w:tc>
        <w:tc>
          <w:tcPr>
            <w:tcW w:w="823" w:type="dxa"/>
            <w:vMerge w:val="restart"/>
            <w:tcBorders>
              <w:tl2br w:val="nil"/>
              <w:tr2bl w:val="nil"/>
            </w:tcBorders>
            <w:noWrap w:val="0"/>
            <w:vAlign w:val="center"/>
          </w:tcPr>
          <w:p w14:paraId="5673536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垃圾处理</w:t>
            </w:r>
          </w:p>
        </w:tc>
        <w:tc>
          <w:tcPr>
            <w:tcW w:w="6272" w:type="dxa"/>
            <w:gridSpan w:val="2"/>
            <w:tcBorders>
              <w:tl2br w:val="nil"/>
              <w:tr2bl w:val="nil"/>
            </w:tcBorders>
            <w:noWrap w:val="0"/>
            <w:vAlign w:val="center"/>
          </w:tcPr>
          <w:p w14:paraId="15E8BC6E">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按指定位置摆放分类垃圾桶（箱）</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858FCA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restart"/>
            <w:tcBorders>
              <w:tl2br w:val="nil"/>
              <w:tr2bl w:val="nil"/>
            </w:tcBorders>
            <w:noWrap w:val="0"/>
            <w:vAlign w:val="center"/>
          </w:tcPr>
          <w:p w14:paraId="190C1F1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304CACC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71821D2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5" w:hRule="atLeast"/>
        </w:trPr>
        <w:tc>
          <w:tcPr>
            <w:tcW w:w="627" w:type="dxa"/>
            <w:vMerge w:val="continue"/>
            <w:tcBorders>
              <w:tl2br w:val="nil"/>
              <w:tr2bl w:val="nil"/>
            </w:tcBorders>
            <w:noWrap w:val="0"/>
            <w:vAlign w:val="center"/>
          </w:tcPr>
          <w:p w14:paraId="4F4498E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56242318">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22ECBA5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桶（箱）身表面干净、无污渍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60482C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16AFC0C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5944CF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0DD1E2B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trPr>
        <w:tc>
          <w:tcPr>
            <w:tcW w:w="627" w:type="dxa"/>
            <w:vMerge w:val="continue"/>
            <w:tcBorders>
              <w:tl2br w:val="nil"/>
              <w:tr2bl w:val="nil"/>
            </w:tcBorders>
            <w:noWrap w:val="0"/>
            <w:vAlign w:val="center"/>
          </w:tcPr>
          <w:p w14:paraId="54A5A391">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20A298A">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79C640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地面无垃圾；垃圾中转房无明显异味</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456E2C6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2335DF1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CB161F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12F1790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627" w:type="dxa"/>
            <w:vMerge w:val="continue"/>
            <w:tcBorders>
              <w:tl2br w:val="nil"/>
              <w:tr2bl w:val="nil"/>
            </w:tcBorders>
            <w:noWrap w:val="0"/>
            <w:vAlign w:val="center"/>
          </w:tcPr>
          <w:p w14:paraId="2A2E5E0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9DA1F6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E47C0D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垃圾分类投放、分类收集、分类运输</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41DE65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5AEE002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2C1F98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6280D4D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trPr>
        <w:tc>
          <w:tcPr>
            <w:tcW w:w="627" w:type="dxa"/>
            <w:vMerge w:val="continue"/>
            <w:tcBorders>
              <w:tl2br w:val="nil"/>
              <w:tr2bl w:val="nil"/>
            </w:tcBorders>
            <w:noWrap w:val="0"/>
            <w:vAlign w:val="center"/>
          </w:tcPr>
          <w:p w14:paraId="2226162F">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BF03EF8">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DC6CD9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垃圾袋装，日产日清。</w:t>
            </w:r>
          </w:p>
        </w:tc>
        <w:tc>
          <w:tcPr>
            <w:tcW w:w="576" w:type="dxa"/>
            <w:tcBorders>
              <w:tl2br w:val="nil"/>
              <w:tr2bl w:val="nil"/>
            </w:tcBorders>
            <w:noWrap w:val="0"/>
            <w:vAlign w:val="center"/>
          </w:tcPr>
          <w:p w14:paraId="2C4D24B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3F9E11E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2C3E36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6E2C5E6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6" w:hRule="atLeast"/>
        </w:trPr>
        <w:tc>
          <w:tcPr>
            <w:tcW w:w="627" w:type="dxa"/>
            <w:vMerge w:val="restart"/>
            <w:tcBorders>
              <w:tl2br w:val="nil"/>
              <w:tr2bl w:val="nil"/>
            </w:tcBorders>
            <w:noWrap w:val="0"/>
            <w:vAlign w:val="center"/>
          </w:tcPr>
          <w:p w14:paraId="5C21449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十四</w:t>
            </w:r>
          </w:p>
        </w:tc>
        <w:tc>
          <w:tcPr>
            <w:tcW w:w="823" w:type="dxa"/>
            <w:vMerge w:val="restart"/>
            <w:tcBorders>
              <w:tl2br w:val="nil"/>
              <w:tr2bl w:val="nil"/>
            </w:tcBorders>
            <w:noWrap w:val="0"/>
            <w:vAlign w:val="center"/>
          </w:tcPr>
          <w:p w14:paraId="730BA12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卫生消毒</w:t>
            </w:r>
          </w:p>
        </w:tc>
        <w:tc>
          <w:tcPr>
            <w:tcW w:w="6272" w:type="dxa"/>
            <w:gridSpan w:val="2"/>
            <w:tcBorders>
              <w:tl2br w:val="nil"/>
              <w:tr2bl w:val="nil"/>
            </w:tcBorders>
            <w:noWrap w:val="0"/>
            <w:vAlign w:val="center"/>
          </w:tcPr>
          <w:p w14:paraId="3ADCFC2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定期预防性卫生消杀公共场所和周围环境</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84消毒液不能与洁厕灵同时使用；电梯等不锈钢品不能使用84消毒液擦拭、不能用钢丝球擦拭</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285A23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restart"/>
            <w:tcBorders>
              <w:tl2br w:val="nil"/>
              <w:tr2bl w:val="nil"/>
            </w:tcBorders>
            <w:noWrap w:val="0"/>
            <w:vAlign w:val="center"/>
          </w:tcPr>
          <w:p w14:paraId="1D60486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2A5E110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57C9EFF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8" w:hRule="atLeast"/>
        </w:trPr>
        <w:tc>
          <w:tcPr>
            <w:tcW w:w="627" w:type="dxa"/>
            <w:vMerge w:val="continue"/>
            <w:tcBorders>
              <w:tl2br w:val="nil"/>
              <w:tr2bl w:val="nil"/>
            </w:tcBorders>
            <w:noWrap w:val="0"/>
            <w:vAlign w:val="center"/>
          </w:tcPr>
          <w:p w14:paraId="4A4801ED">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519C12CA">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23963D2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在化学防治中注重合理用药，不使用违禁药品。</w:t>
            </w:r>
          </w:p>
        </w:tc>
        <w:tc>
          <w:tcPr>
            <w:tcW w:w="576" w:type="dxa"/>
            <w:tcBorders>
              <w:tl2br w:val="nil"/>
              <w:tr2bl w:val="nil"/>
            </w:tcBorders>
            <w:noWrap w:val="0"/>
            <w:vAlign w:val="center"/>
          </w:tcPr>
          <w:p w14:paraId="55A65F8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6C03981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22FCC7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645B38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90" w:hRule="atLeast"/>
        </w:trPr>
        <w:tc>
          <w:tcPr>
            <w:tcW w:w="7722" w:type="dxa"/>
            <w:gridSpan w:val="4"/>
            <w:tcBorders>
              <w:top w:val="single" w:color="auto" w:sz="8" w:space="0"/>
              <w:left w:val="single" w:color="auto" w:sz="8" w:space="0"/>
              <w:bottom w:val="single" w:color="auto" w:sz="8" w:space="0"/>
              <w:right w:val="single" w:color="auto" w:sz="8" w:space="0"/>
            </w:tcBorders>
            <w:noWrap w:val="0"/>
            <w:vAlign w:val="center"/>
          </w:tcPr>
          <w:p w14:paraId="67033B0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合   计</w:t>
            </w:r>
          </w:p>
        </w:tc>
        <w:tc>
          <w:tcPr>
            <w:tcW w:w="576" w:type="dxa"/>
            <w:tcBorders>
              <w:top w:val="single" w:color="auto" w:sz="8" w:space="0"/>
              <w:left w:val="single" w:color="auto" w:sz="8" w:space="0"/>
              <w:bottom w:val="single" w:color="auto" w:sz="8" w:space="0"/>
              <w:right w:val="single" w:color="auto" w:sz="8" w:space="0"/>
            </w:tcBorders>
            <w:noWrap w:val="0"/>
            <w:vAlign w:val="center"/>
          </w:tcPr>
          <w:p w14:paraId="0A4AB81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100</w:t>
            </w:r>
          </w:p>
        </w:tc>
        <w:tc>
          <w:tcPr>
            <w:tcW w:w="1434" w:type="dxa"/>
            <w:gridSpan w:val="2"/>
            <w:tcBorders>
              <w:top w:val="single" w:color="auto" w:sz="8" w:space="0"/>
              <w:left w:val="single" w:color="auto" w:sz="8" w:space="0"/>
              <w:bottom w:val="single" w:color="auto" w:sz="8" w:space="0"/>
              <w:right w:val="single" w:color="auto" w:sz="8" w:space="0"/>
            </w:tcBorders>
            <w:noWrap w:val="0"/>
            <w:vAlign w:val="center"/>
          </w:tcPr>
          <w:p w14:paraId="4EA04C6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扣分：</w:t>
            </w:r>
          </w:p>
        </w:tc>
      </w:tr>
      <w:tr w14:paraId="5A0240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1248" w:hRule="atLeast"/>
        </w:trPr>
        <w:tc>
          <w:tcPr>
            <w:tcW w:w="9732" w:type="dxa"/>
            <w:gridSpan w:val="7"/>
            <w:tcBorders>
              <w:top w:val="single" w:color="auto" w:sz="8" w:space="0"/>
              <w:left w:val="single" w:color="auto" w:sz="8" w:space="0"/>
              <w:bottom w:val="single" w:color="auto" w:sz="8" w:space="0"/>
              <w:right w:val="single" w:color="auto" w:sz="8" w:space="0"/>
            </w:tcBorders>
            <w:noWrap w:val="0"/>
            <w:vAlign w:val="top"/>
          </w:tcPr>
          <w:p w14:paraId="4F6C37D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确保现场工作人员严格遵守</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的相关纪律和制度，严禁无故脱岗，对日常服务等进行满意度测评打分，并建立台账。每</w:t>
            </w:r>
            <w:r>
              <w:rPr>
                <w:rFonts w:hint="eastAsia" w:ascii="宋体" w:hAnsi="宋体" w:eastAsia="宋体" w:cs="宋体"/>
                <w:b w:val="0"/>
                <w:bCs w:val="0"/>
                <w:sz w:val="24"/>
                <w:szCs w:val="24"/>
                <w:highlight w:val="none"/>
                <w:lang w:val="en-US" w:eastAsia="zh-CN"/>
              </w:rPr>
              <w:t>月</w:t>
            </w:r>
            <w:r>
              <w:rPr>
                <w:rFonts w:hint="eastAsia" w:ascii="宋体" w:hAnsi="宋体" w:eastAsia="宋体" w:cs="宋体"/>
                <w:b w:val="0"/>
                <w:bCs w:val="0"/>
                <w:sz w:val="24"/>
                <w:szCs w:val="24"/>
                <w:highlight w:val="none"/>
              </w:rPr>
              <w:t>为一个考核周期，</w:t>
            </w:r>
            <w:r>
              <w:rPr>
                <w:rFonts w:hint="eastAsia" w:ascii="宋体" w:hAnsi="宋体" w:eastAsia="宋体" w:cs="宋体"/>
                <w:b w:val="0"/>
                <w:bCs w:val="0"/>
                <w:sz w:val="24"/>
                <w:szCs w:val="24"/>
                <w:highlight w:val="none"/>
                <w:lang w:val="en-US" w:eastAsia="zh-CN"/>
              </w:rPr>
              <w:t>按</w:t>
            </w:r>
            <w:r>
              <w:rPr>
                <w:rFonts w:hint="eastAsia" w:ascii="宋体" w:hAnsi="宋体" w:cs="宋体"/>
                <w:b w:val="0"/>
                <w:bCs w:val="0"/>
                <w:sz w:val="24"/>
                <w:szCs w:val="24"/>
                <w:highlight w:val="none"/>
                <w:lang w:val="en-US" w:eastAsia="zh-CN"/>
              </w:rPr>
              <w:t>月</w:t>
            </w:r>
            <w:r>
              <w:rPr>
                <w:rFonts w:hint="eastAsia" w:ascii="宋体" w:hAnsi="宋体" w:eastAsia="宋体" w:cs="宋体"/>
                <w:b w:val="0"/>
                <w:bCs w:val="0"/>
                <w:sz w:val="24"/>
                <w:szCs w:val="24"/>
                <w:highlight w:val="none"/>
              </w:rPr>
              <w:t>结算。考核得分在90-100分为优，全额支付</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服务费；考核得分在80-89分为良好，扣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应付服务费的5%；考核得分在70-80分为一般，扣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应付服务费的10%；考核得分在70分以下为差，</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将要求</w:t>
            </w: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对相关工作进行限期整改，整改后经随机抽查达到良好情形的，扣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应付服务费的15%；经过限期整改仍达不到良好情形的或拒不整改的，</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有权终止合同，</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相关损失由</w:t>
            </w: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承担。</w:t>
            </w:r>
          </w:p>
        </w:tc>
      </w:tr>
      <w:tr w14:paraId="0B23CC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3311" w:hRule="atLeast"/>
        </w:trPr>
        <w:tc>
          <w:tcPr>
            <w:tcW w:w="3257" w:type="dxa"/>
            <w:gridSpan w:val="3"/>
            <w:tcBorders>
              <w:top w:val="single" w:color="auto" w:sz="8" w:space="0"/>
              <w:left w:val="single" w:color="auto" w:sz="8" w:space="0"/>
              <w:bottom w:val="single" w:color="auto" w:sz="4" w:space="0"/>
              <w:right w:val="single" w:color="auto" w:sz="8" w:space="0"/>
            </w:tcBorders>
            <w:noWrap w:val="0"/>
            <w:vAlign w:val="top"/>
          </w:tcPr>
          <w:p w14:paraId="189C8E1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检查人：</w:t>
            </w:r>
          </w:p>
        </w:tc>
        <w:tc>
          <w:tcPr>
            <w:tcW w:w="6475" w:type="dxa"/>
            <w:gridSpan w:val="4"/>
            <w:tcBorders>
              <w:top w:val="single" w:color="auto" w:sz="8" w:space="0"/>
              <w:left w:val="single" w:color="auto" w:sz="8" w:space="0"/>
              <w:bottom w:val="single" w:color="auto" w:sz="4" w:space="0"/>
              <w:right w:val="single" w:color="auto" w:sz="8" w:space="0"/>
            </w:tcBorders>
            <w:noWrap w:val="0"/>
            <w:vAlign w:val="top"/>
          </w:tcPr>
          <w:p w14:paraId="0B41719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被考核单位确认签字盖章：</w:t>
            </w:r>
          </w:p>
        </w:tc>
      </w:tr>
    </w:tbl>
    <w:p w14:paraId="05A66449">
      <w:pPr>
        <w:pStyle w:val="22"/>
        <w:keepNext w:val="0"/>
        <w:keepLines w:val="0"/>
        <w:pageBreakBefore w:val="0"/>
        <w:numPr>
          <w:ilvl w:val="1"/>
          <w:numId w:val="0"/>
        </w:numPr>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p>
    <w:p w14:paraId="635DF9DA">
      <w:pPr>
        <w:keepNext w:val="0"/>
        <w:keepLines w:val="0"/>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65B43266">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第三部分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供应商须知</w:t>
      </w:r>
    </w:p>
    <w:p w14:paraId="0BDF8DA0">
      <w:pPr>
        <w:pageBreakBefore w:val="0"/>
        <w:kinsoku/>
        <w:wordWrap/>
        <w:overflowPunct/>
        <w:topLinePunct w:val="0"/>
        <w:bidi w:val="0"/>
        <w:spacing w:line="560" w:lineRule="exact"/>
        <w:jc w:val="center"/>
        <w:textAlignment w:val="auto"/>
        <w:outlineLvl w:val="9"/>
        <w:rPr>
          <w:rFonts w:hint="eastAsia" w:asciiTheme="minorEastAsia" w:hAnsiTheme="minorEastAsia" w:eastAsiaTheme="minorEastAsia" w:cstheme="minorEastAsia"/>
          <w:b w:val="0"/>
          <w:bCs w:val="0"/>
          <w:color w:val="000000"/>
          <w:sz w:val="24"/>
          <w:szCs w:val="24"/>
          <w:lang w:val="en-US" w:eastAsia="zh-CN"/>
        </w:rPr>
      </w:pPr>
    </w:p>
    <w:p w14:paraId="146D8F3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一、总则</w:t>
      </w:r>
    </w:p>
    <w:p w14:paraId="592589A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（一）适用范围</w:t>
      </w:r>
    </w:p>
    <w:p w14:paraId="168C3E1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1、本询比采购文件仅适用于本次投标邀请函中所述张家口产业投资控股集团有限公司保洁服务项目的内容。</w:t>
      </w:r>
    </w:p>
    <w:p w14:paraId="5D9815B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2、资金来源：自筹。</w:t>
      </w:r>
    </w:p>
    <w:p w14:paraId="6E98EAF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（二）定义</w:t>
      </w:r>
    </w:p>
    <w:p w14:paraId="739F17C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1、“采购人”系张家口霖辉物业管理集团有限公司。</w:t>
      </w:r>
    </w:p>
    <w:p w14:paraId="37C9BC0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2、“供应商”系指参加本项目的投标单位，也称“投标人”。</w:t>
      </w:r>
    </w:p>
    <w:p w14:paraId="5783A84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3、“货物”系指供应商根据询比采购文件规定须向采购人提供的一切产品及服务。</w:t>
      </w:r>
    </w:p>
    <w:p w14:paraId="13C3B14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4、“签字”系指供应商根据询比采购文件规定，完成的书写事项，即必须用黑色碳素笔或钢笔书写完整姓名，并要求使用墨汁、蓝黑墨水、碳素墨水。不得用签名章、印签章代替。</w:t>
      </w:r>
    </w:p>
    <w:p w14:paraId="670E1EC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5、“公章”系参加本项目的投标人的正式印章，所刊名称，应为法定名称，不得用各式业务章或专用章代替。“加盖公章”系加盖鲜章，不得用各式复印章或扫描章代替。</w:t>
      </w:r>
    </w:p>
    <w:p w14:paraId="481D5E0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6、“复印件”系指相关资料原件的复制品或原件的扫描件。</w:t>
      </w:r>
    </w:p>
    <w:p w14:paraId="20364CC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（三）本次采购方式为询比采购。</w:t>
      </w:r>
    </w:p>
    <w:p w14:paraId="5C432B9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（四）合格的供应商</w:t>
      </w:r>
    </w:p>
    <w:p w14:paraId="66A57B5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1、合格供应商资格要求</w:t>
      </w:r>
    </w:p>
    <w:p w14:paraId="32EACD4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（1）供应商必须符合《中华人民共和国政府采购法》第二十二条的规定；</w:t>
      </w:r>
    </w:p>
    <w:p w14:paraId="0987A27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（2）具有安全保卫专业技术人员、设备、技术等方面相应的服务能力，具有良好的商业信誉；</w:t>
      </w:r>
    </w:p>
    <w:p w14:paraId="3A3F46D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（3）有效的企业营业执照副本、税务登记证副本、组织机构代码证副本（三证合一或五证合一的企业只需提供具有统一社会信用代码独立法人的营业执照副本）；</w:t>
      </w:r>
    </w:p>
    <w:p w14:paraId="36282C8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（4）银行开户许可证（或取消开户许可证的须提供基本存款账户银行备案资料）；</w:t>
      </w:r>
    </w:p>
    <w:p w14:paraId="229D461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（5）供应商参加本次政府采购活动前3年内无重大违法记录和政府采购严重违法失信行为的书面声明；</w:t>
      </w:r>
    </w:p>
    <w:p w14:paraId="7A6D6B5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737C6C9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（7）单位负责人为同一人或者存在直接控股、管理关系的不同投标人，不得参加同一合同项下的政府采购活动；</w:t>
      </w:r>
    </w:p>
    <w:p w14:paraId="1D0ED0D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（8）本项目不接受联合体投标。</w:t>
      </w:r>
    </w:p>
    <w:p w14:paraId="6554F47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2、知识产权和专利权</w:t>
      </w:r>
    </w:p>
    <w:p w14:paraId="57F2B8E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（1）供应商应保证，采购人在中华人民共和国接受供应商提供的货物时采购人免受第三方提出侵犯其专利权或其他知识产权的起诉；</w:t>
      </w:r>
    </w:p>
    <w:p w14:paraId="4E3F986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（2）投标价应包括所有应支付的对专利权和版权、设计或其他知识产权而需要向其他方支付的版税。</w:t>
      </w:r>
    </w:p>
    <w:p w14:paraId="38315E0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供应商知悉供应商将被视为已合理地尽可能地对所有影响项目的事项，包括任何与项目和采购人需求所列明的有关的特殊困难有了充分的了解。供应商必须对询比采购文件的商务条款逐项做出响应，否则按无效标书处理。</w:t>
      </w:r>
    </w:p>
    <w:p w14:paraId="59B9EC8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kern w:val="2"/>
          <w:sz w:val="24"/>
          <w:szCs w:val="24"/>
          <w:lang w:val="en-US" w:eastAsia="zh-CN" w:bidi="ar-SA"/>
        </w:rPr>
        <w:t>4、供应商应遵守《中华人民共和国政府采购法》、《中华人民共</w:t>
      </w:r>
      <w:r>
        <w:rPr>
          <w:rFonts w:hint="eastAsia" w:asciiTheme="minorEastAsia" w:hAnsiTheme="minorEastAsia" w:eastAsiaTheme="minorEastAsia" w:cstheme="minorEastAsia"/>
          <w:i w:val="0"/>
          <w:iCs w:val="0"/>
          <w:caps w:val="0"/>
          <w:color w:val="1F2329"/>
          <w:spacing w:val="0"/>
          <w:sz w:val="24"/>
          <w:szCs w:val="24"/>
          <w:shd w:val="clear" w:fill="FFFFFF"/>
        </w:rPr>
        <w:t>和国政府采购法实施条例》及其他相关法律、法规。</w:t>
      </w:r>
    </w:p>
    <w:p w14:paraId="05BC425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5、供应商必须向招标人购买询比采购文件并登记，未向招标人购买询比采购文件并登记的潜在供应商均无资格参加本次投标。</w:t>
      </w:r>
    </w:p>
    <w:p w14:paraId="78DBD51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（五）投标费用</w:t>
      </w:r>
    </w:p>
    <w:p w14:paraId="1C2A06A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1、供应商应自行承担所有与编制和提交询比采购投标文件有关的全部费用，不论投标结果如何，招标人和采购人在任何情况下均无义务和责任承担这些费用。</w:t>
      </w:r>
    </w:p>
    <w:p w14:paraId="2DD6BE2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2、踏勘现场</w:t>
      </w:r>
    </w:p>
    <w:p w14:paraId="361B57B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（1）采购人将不组织供应商进行踏勘现场，供应商如认为有必要可自行前往</w:t>
      </w:r>
      <w:r>
        <w:rPr>
          <w:rFonts w:hint="eastAsia" w:asciiTheme="minorEastAsia" w:hAnsiTheme="minorEastAsia" w:eastAsiaTheme="minorEastAsia" w:cstheme="minorEastAsia"/>
          <w:i w:val="0"/>
          <w:iCs w:val="0"/>
          <w:caps w:val="0"/>
          <w:color w:val="1F2329"/>
          <w:spacing w:val="0"/>
          <w:sz w:val="24"/>
          <w:szCs w:val="24"/>
          <w:highlight w:val="yellow"/>
          <w:shd w:val="clear" w:fill="FFFFFF"/>
          <w:lang w:val="en-US" w:eastAsia="zh-CN"/>
        </w:rPr>
        <w:t>张家口市桥东区南站街道钻石南路丰泰风光苑4号办公楼项目</w:t>
      </w:r>
      <w:r>
        <w:rPr>
          <w:rFonts w:hint="eastAsia" w:asciiTheme="minorEastAsia" w:hAnsiTheme="minorEastAsia" w:eastAsiaTheme="minorEastAsia" w:cstheme="minorEastAsia"/>
          <w:i w:val="0"/>
          <w:iCs w:val="0"/>
          <w:caps w:val="0"/>
          <w:color w:val="1F2329"/>
          <w:spacing w:val="0"/>
          <w:sz w:val="24"/>
          <w:szCs w:val="24"/>
          <w:highlight w:val="yellow"/>
          <w:shd w:val="clear" w:fill="FFFFFF"/>
        </w:rPr>
        <w:t>所在地</w:t>
      </w:r>
      <w:r>
        <w:rPr>
          <w:rFonts w:hint="eastAsia" w:asciiTheme="minorEastAsia" w:hAnsiTheme="minorEastAsia" w:eastAsiaTheme="minorEastAsia" w:cstheme="minorEastAsia"/>
          <w:i w:val="0"/>
          <w:iCs w:val="0"/>
          <w:caps w:val="0"/>
          <w:color w:val="1F2329"/>
          <w:spacing w:val="0"/>
          <w:sz w:val="24"/>
          <w:szCs w:val="24"/>
          <w:shd w:val="clear" w:fill="FFFFFF"/>
        </w:rPr>
        <w:t>对项目现场及周围环境进行踏勘，以便获取自己负责的有关编制询比采购投标文件和签署合同所需的所有资料。踏勘现场所发生的费用由供应商自己承担。</w:t>
      </w:r>
    </w:p>
    <w:p w14:paraId="3738BEC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（2）采购人向供应商提供的有关项目的资料和数据，是采购人现有的能使供应商利用的资料。采购人对供应商由此而做出的推论、理解和结论概不负责。</w:t>
      </w:r>
    </w:p>
    <w:p w14:paraId="08E26A4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及其人员经过采购人的允许，可为踏勘目的进入采购人的项目现场，但供应商及其人员不得因此使采购人及其人员承担有关的责任和蒙受损失。供应商并应对由此次踏勘现场而造成的死亡、人身伤害、财产损失、损害以及任何其它损失、损害和引起的费用和开支承担责任。</w:t>
      </w:r>
    </w:p>
    <w:p w14:paraId="443542DD">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二、询比采购文件</w:t>
      </w:r>
    </w:p>
    <w:p w14:paraId="55C7CED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（一）询比采购文件的构成（询比采购文件除以下内容外，采购人在招标期间发出的答疑纪要和其他补充修改函件，均是询比采购文件的组成部分，对投标供应商起约束作用）</w:t>
      </w:r>
    </w:p>
    <w:p w14:paraId="70EC858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1、投标邀请函</w:t>
      </w:r>
    </w:p>
    <w:p w14:paraId="4A9CDF9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2、招标项目内容及要求</w:t>
      </w:r>
    </w:p>
    <w:p w14:paraId="439111E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3、供应商须知</w:t>
      </w:r>
    </w:p>
    <w:p w14:paraId="0B878E4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4、合同范本</w:t>
      </w:r>
    </w:p>
    <w:p w14:paraId="7BB6940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5、询比采购投标文件格式</w:t>
      </w:r>
    </w:p>
    <w:p w14:paraId="21B3563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供应商同时应认真审阅询比采购文件中所有的事项、格式、条款和规范要求等，如果供应商的询比采购投标文件没有按照询比采购文件要求提交全部资料或者没有对询比采购文件做出实质性响应，其责任与风险应由投标供应商自行承担。并根据有关条款规定，其投标有可能被拒绝。</w:t>
      </w:r>
    </w:p>
    <w:p w14:paraId="2BDA00E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（三）询比采购文件的澄清</w:t>
      </w:r>
    </w:p>
    <w:p w14:paraId="7EE1846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1、供应商获取询比采购文件后，应仔细检查询比采购文件的所有内容，如有残缺应在获取询比采购文件后3日内向招标人提出，否则，由此引起的投标损失自负。</w:t>
      </w:r>
    </w:p>
    <w:p w14:paraId="49401AF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2、供应商在收到询比采购文件后，对询比采购文件任何部分若有任何疑问，任何要求澄清询比采购文件的供应商，均应在领到询比采购文件</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shd w:val="clear" w:fill="FFFFFF"/>
        </w:rPr>
        <w:t>个工作日内按投标邀请函中载明的地址以书面形式通知招标人。不论是采购人根据需要主动对询比采购文件进行必要的澄清或是根据供应商的要求对询比采购文件做出澄清，招标人将视情况，确定采用适当方式予以澄清或答复，并在认为必要时，将书面答复发给已购买询比采购文件的所有供应商。澄清记录作为询比采购文件的组成部分，对供应商起约束作用。3、供应商在规定时间未提交疑问的，视作默认对本次招标过程中询比采购文件或清单无疑问，采购人对其提出的问题可以不作解释。</w:t>
      </w:r>
    </w:p>
    <w:p w14:paraId="74C983E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（四）询比采购文件的修改</w:t>
      </w:r>
    </w:p>
    <w:p w14:paraId="6FD49AB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1、在投标截止日</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期</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日</w:t>
      </w:r>
      <w:r>
        <w:rPr>
          <w:rFonts w:hint="eastAsia" w:asciiTheme="minorEastAsia" w:hAnsiTheme="minorEastAsia" w:eastAsiaTheme="minorEastAsia" w:cstheme="minorEastAsia"/>
          <w:i w:val="0"/>
          <w:iCs w:val="0"/>
          <w:caps w:val="0"/>
          <w:color w:val="1F2329"/>
          <w:spacing w:val="0"/>
          <w:sz w:val="24"/>
          <w:szCs w:val="24"/>
          <w:shd w:val="clear" w:fill="FFFFFF"/>
        </w:rPr>
        <w:t>之前的任何时候，招标人可主动或在解答供应商提出的澄清问题时对询比采购文件以补遗书的形式进行修改。</w:t>
      </w:r>
    </w:p>
    <w:p w14:paraId="750D8F9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2、询比采购文件的修改将以书面形式通知所有购买询比采购文件的供应商，并对其具有约束力。供应商在接到上述通知后，应立即向招标人回函确认。</w:t>
      </w:r>
    </w:p>
    <w:p w14:paraId="4138D0D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文件、询比采购文件澄清（答疑）记录、询比采购文件修改补充通知内容均以书面明确的内容为准。当询比采购文件、修改补充通知、澄清（答疑）记录内容相互矛盾时，以最后发出的通知（或纪要）或修改文件为准。</w:t>
      </w:r>
    </w:p>
    <w:p w14:paraId="6AB2D65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4、为使供应商编写询比采购投标文件时有充分时间对询比采购文件的修改部分进行研究，招标人可以酌情延后投标截止时间。</w:t>
      </w:r>
    </w:p>
    <w:p w14:paraId="7E050AC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编制供应商应认真审阅本询比采购文件，并在接受全部条款内容后，方可参加投标。投标单位由于对询比采购文件的任何误解和忽略造成损失的责任，由供应商自己负责。供应商的询比采购投标文件应包括下列内容：</w:t>
      </w:r>
    </w:p>
    <w:p w14:paraId="00ADA65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（一）询比采购投标文件的语言供应商提交的询比采购投标文件以及与招标人和采购人就有关投标的所有来往函件均应使用简体中文。</w:t>
      </w:r>
    </w:p>
    <w:p w14:paraId="5E7C817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投标货币与计量单位本次投标用人民币报价。参加投标的企业，可根据本实际情况，充分考虑项目经营期间可能会遇到的市场风险等因素，进行报价参加投标。投标报价即为该项目的最终报价。询比采购文件中的所有计量单位和规格说明都是用中华人民共和国法定计量单位（国际单位制和国家选定的其他计量单位）表示。</w:t>
      </w:r>
    </w:p>
    <w:p w14:paraId="650313E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报价原则：</w:t>
      </w:r>
    </w:p>
    <w:p w14:paraId="313BDCD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供应商必须按本询比采购文件指定格式正确填写各种价格单；</w:t>
      </w:r>
    </w:p>
    <w:p w14:paraId="339279E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2、询比采购投标文件报价出现前后不一致的，按照下列规定修正：</w:t>
      </w:r>
    </w:p>
    <w:p w14:paraId="426E03E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（1）询比采购投标文件中报价表内容与询比采购投标文件中相应内容不一致的，以报价表为准;</w:t>
      </w:r>
    </w:p>
    <w:p w14:paraId="613CDEC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（2）大写金额和小写金额不一致的，以大写金额为准;</w:t>
      </w:r>
    </w:p>
    <w:p w14:paraId="32CB93B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（3）单价金额小数点或者百分比有明显错位的，以报价表的总价为准，并修改单价;</w:t>
      </w:r>
    </w:p>
    <w:p w14:paraId="4EBCCEC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总价金额与按单价汇总金额不一致的，以单价金额计算结果为准。同时出现两种以上不一致的，按照前款规定的顺序修正。修正后的报价由投标人以书面形式，并加盖公章，或者由法定代表人或其授权的代表签字确认后产生约束力，投标人不确认的，其投标无效。</w:t>
      </w:r>
    </w:p>
    <w:p w14:paraId="28F840A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3、所有报价均为交付采购人使用前（包括伴随服务）的价格。</w:t>
      </w:r>
    </w:p>
    <w:p w14:paraId="6FF95D5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（三）询比采购投标文件的构成供应商编写的询比采购投标文件应包括下列内容：</w:t>
      </w:r>
    </w:p>
    <w:p w14:paraId="20FF011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1、供应商诚信承诺书；</w:t>
      </w:r>
    </w:p>
    <w:p w14:paraId="29FE6CF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2、投标函；</w:t>
      </w:r>
    </w:p>
    <w:p w14:paraId="405F035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3、投标报价表；</w:t>
      </w:r>
    </w:p>
    <w:p w14:paraId="43673C7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4、服务响应偏离表；</w:t>
      </w:r>
    </w:p>
    <w:p w14:paraId="13258F8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5、供应商基本情况表；</w:t>
      </w:r>
    </w:p>
    <w:p w14:paraId="61117DD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6、项目实施方案；</w:t>
      </w:r>
    </w:p>
    <w:p w14:paraId="72DADAA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7、售后服务承诺书；</w:t>
      </w:r>
    </w:p>
    <w:p w14:paraId="27EFA54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8、其它（如有时）；</w:t>
      </w:r>
    </w:p>
    <w:p w14:paraId="4B1467A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9、供应商资格证明文件：</w:t>
      </w:r>
    </w:p>
    <w:p w14:paraId="062C7D2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A．企业营业执照副本、税务登记证副本(不需缴税的单位请提供税务部门出具的证明材料)、组织机构代码证副本（三证合一或五证合一的单位提供新版营业执照副本即可）复印件；</w:t>
      </w:r>
    </w:p>
    <w:p w14:paraId="2A87D1C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lang w:eastAsia="zh-CN"/>
        </w:rPr>
      </w:pPr>
      <w:r>
        <w:rPr>
          <w:rFonts w:hint="eastAsia" w:asciiTheme="minorEastAsia" w:hAnsiTheme="minorEastAsia" w:eastAsiaTheme="minorEastAsia" w:cstheme="minorEastAsia"/>
          <w:i w:val="0"/>
          <w:iCs w:val="0"/>
          <w:caps w:val="0"/>
          <w:color w:val="1F2329"/>
          <w:spacing w:val="0"/>
          <w:sz w:val="24"/>
          <w:szCs w:val="24"/>
          <w:shd w:val="clear" w:fill="FFFFFF"/>
        </w:rPr>
        <w:t>B．银行开户许可证（或取消开户许可证的须提供基本存款账户银行备案资料）；C．法定代表人身份证明书原件和授权委托书原件（法定代表人参加投标的，不需要提供授权委托书原件）；以上资格证明文件的复印件要求真实、准确、清晰并加盖本单位公章</w:t>
      </w:r>
      <w:r>
        <w:rPr>
          <w:rFonts w:hint="eastAsia" w:asciiTheme="minorEastAsia" w:hAnsiTheme="minorEastAsia" w:eastAsiaTheme="minorEastAsia" w:cstheme="minorEastAsia"/>
          <w:i w:val="0"/>
          <w:iCs w:val="0"/>
          <w:caps w:val="0"/>
          <w:color w:val="1F2329"/>
          <w:spacing w:val="0"/>
          <w:sz w:val="24"/>
          <w:szCs w:val="24"/>
          <w:shd w:val="clear" w:fill="FFFFFF"/>
          <w:lang w:eastAsia="zh-CN"/>
        </w:rPr>
        <w:t>。</w:t>
      </w:r>
    </w:p>
    <w:p w14:paraId="17C8637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10、供应商参加本次采购活动前3年内无重大违法记录和政府采购严重违法失信行为的书面声明；</w:t>
      </w:r>
    </w:p>
    <w:p w14:paraId="32DBFF8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6E2DF91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（四）询比采购投标文件的式样和签署供应商必须严格按照询比采购文件的规定和格式编制询比采购投标文件，并逐项逐条回答询比采购文件所要求的内容，可以增加文字说明和描述，否则将视为无效投标。</w:t>
      </w:r>
    </w:p>
    <w:p w14:paraId="3F5A4F8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必须采用A4纸胶装成册，一律不得采用活页装订,必须胶装；询比采购投标文件必须编制目录，每一页均需编辑页号（封面、目录、封底、分隔页可以不编辑页号），中间不得多页、少页、空页。</w:t>
      </w:r>
    </w:p>
    <w:p w14:paraId="146FD37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2、询比采购投标文件正本应当按照询比采购文件规定格式盖章、签字。</w:t>
      </w:r>
    </w:p>
    <w:p w14:paraId="00768F1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3、询比采购投标文件共三套，其中纸质正本一套，副本一套，电子版一套（提供U盘）；询比采购投标文件的副本可采用正本的复印件，副本内容与正本不一致时以正本为准。</w:t>
      </w:r>
    </w:p>
    <w:p w14:paraId="5757738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4、询比采购投标文件应尽量避免涂改、行间插字或删除。如果出现上述情况，修改之处应加盖投标供应商单位公章并由投标供应商的法定代表人或其委托代理人签字确认。</w:t>
      </w:r>
    </w:p>
    <w:p w14:paraId="473EDF4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（五）询比采购投标文件有效期询比采购投标文件的有效期为60日。在特殊情况下，招标人可与供应商协商延长询比采购投标文件的有效期。</w:t>
      </w:r>
    </w:p>
    <w:p w14:paraId="4CB553C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四、询比采购投标文件的递交</w:t>
      </w:r>
    </w:p>
    <w:p w14:paraId="5D76889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（一）询比采购投标文件的密封和标记供应商应将纸质询比采购投标文件正本（壹套）和副本</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（壹套）</w:t>
      </w:r>
      <w:r>
        <w:rPr>
          <w:rFonts w:hint="eastAsia" w:asciiTheme="minorEastAsia" w:hAnsiTheme="minorEastAsia" w:eastAsiaTheme="minorEastAsia" w:cstheme="minorEastAsia"/>
          <w:i w:val="0"/>
          <w:iCs w:val="0"/>
          <w:caps w:val="0"/>
          <w:color w:val="1F2329"/>
          <w:spacing w:val="0"/>
          <w:sz w:val="24"/>
          <w:szCs w:val="24"/>
          <w:shd w:val="clear" w:fill="FFFFFF"/>
        </w:rPr>
        <w:t>胶装成册并与电子版询比采购投标文件（U盘外表面应当清楚标记单位名称）密封在同一个密封袋中（格式见询比采购文件第五部分）。将文件密封袋封面（格式见询比采购文件第五部分）粘贴在文件袋外，封贴处加盖清晰的公章及法人印章。如果未按上述规定进行密封和标记，招标人对询比采购投标文件不予接收，而且对询比采购投标文件的误投或提前拆封不负责任。</w:t>
      </w:r>
    </w:p>
    <w:p w14:paraId="731A92B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（二）询比采购投标文件有下列情形之一的，招标人不予受理：</w:t>
      </w:r>
    </w:p>
    <w:p w14:paraId="2E1BB21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1、超过投标截止时间送达或未送达指定地点的询比采购投标文件；</w:t>
      </w:r>
    </w:p>
    <w:p w14:paraId="2A6E0C0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2、未按询比采购文件要求予以标志和密封的询比采购投标文件。</w:t>
      </w:r>
    </w:p>
    <w:p w14:paraId="0C9AE82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五、开标与评标</w:t>
      </w:r>
    </w:p>
    <w:p w14:paraId="6E493C4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（一）开标</w:t>
      </w:r>
    </w:p>
    <w:p w14:paraId="4960EA5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招标人将在招标公告规定的时间和地点进行开标。投标人的法定代表人或其授权委托人应单独携带法定代表人身份证明书原件、授权委托书原件（法定代表人参加的不需提供授权书）及本人身份证原件签到以证明出席，否则</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采购人</w:t>
      </w:r>
      <w:r>
        <w:rPr>
          <w:rFonts w:hint="eastAsia" w:asciiTheme="minorEastAsia" w:hAnsiTheme="minorEastAsia" w:eastAsiaTheme="minorEastAsia" w:cstheme="minorEastAsia"/>
          <w:i w:val="0"/>
          <w:iCs w:val="0"/>
          <w:caps w:val="0"/>
          <w:color w:val="1F2329"/>
          <w:spacing w:val="0"/>
          <w:sz w:val="24"/>
          <w:szCs w:val="24"/>
          <w:shd w:val="clear" w:fill="FFFFFF"/>
        </w:rPr>
        <w:t>对其递交的询比采购投标文件不予接收。</w:t>
      </w:r>
    </w:p>
    <w:p w14:paraId="7D8FFAF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2、投标人不足3家的，不得开标。</w:t>
      </w:r>
    </w:p>
    <w:p w14:paraId="299CDC1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3、开标时，招标人工作人员当众拆封询比采购投标文件，宣布投标人名称、投标价格和询比采购文件规定的需要宣布的其他内容；</w:t>
      </w:r>
    </w:p>
    <w:p w14:paraId="42D3FF7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4、招标人做开标记录；</w:t>
      </w:r>
    </w:p>
    <w:p w14:paraId="2DD6771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5、采购人根据招标项目的特点依法组建评标委员会，经评标委员会成员推举产生评标委员会主任；</w:t>
      </w:r>
    </w:p>
    <w:p w14:paraId="6F960B5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6、评标纪律、评标原则和标准将在评标会议上宣布。</w:t>
      </w:r>
    </w:p>
    <w:p w14:paraId="72C6C1E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（二）评标</w:t>
      </w:r>
    </w:p>
    <w:p w14:paraId="1F72775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1、本招标项目的评标依据为询比采购文件和询比采购投标文件；</w:t>
      </w:r>
    </w:p>
    <w:p w14:paraId="6BC8698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2、供应商在评标过程中，所进行的力图影响评标结果、不符合评标办法的活动，将导致其被取消中标资格；</w:t>
      </w:r>
    </w:p>
    <w:p w14:paraId="2ACEC67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3、在评标过程中，评标委员会发现供应商以他人的名义投标、串通投标或者以其它弄虚作假方式投标的,该投标将作无效标处理；</w:t>
      </w:r>
    </w:p>
    <w:p w14:paraId="702D5A5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DD36B8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5、采购人按评审报告确定的中标候选人的顺序确定中标人；</w:t>
      </w:r>
    </w:p>
    <w:p w14:paraId="2D5180C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w:t>
      </w:r>
      <w:r>
        <w:rPr>
          <w:rFonts w:hint="eastAsia" w:asciiTheme="minorEastAsia" w:hAnsiTheme="minorEastAsia" w:eastAsiaTheme="minorEastAsia" w:cstheme="minorEastAsia"/>
          <w:i w:val="0"/>
          <w:iCs w:val="0"/>
          <w:caps w:val="0"/>
          <w:color w:val="1F2329"/>
          <w:spacing w:val="0"/>
          <w:sz w:val="24"/>
          <w:szCs w:val="24"/>
          <w:highlight w:val="none"/>
          <w:shd w:val="clear" w:fill="FFFFFF"/>
        </w:rPr>
        <w:t>评标委员会5人组成，评标委员会组成人员为：项目业主单位主要负责人1人，分管项目副总1人，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分管工程维修副总</w:t>
      </w:r>
      <w:r>
        <w:rPr>
          <w:rFonts w:hint="eastAsia" w:asciiTheme="minorEastAsia" w:hAnsiTheme="minorEastAsia" w:eastAsiaTheme="minorEastAsia" w:cstheme="minorEastAsia"/>
          <w:i w:val="0"/>
          <w:iCs w:val="0"/>
          <w:caps w:val="0"/>
          <w:color w:val="1F2329"/>
          <w:spacing w:val="0"/>
          <w:sz w:val="24"/>
          <w:szCs w:val="24"/>
          <w:highlight w:val="none"/>
          <w:shd w:val="clear" w:fill="FFFFFF"/>
        </w:rPr>
        <w:t>1人，分管部门负责人1人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技术负责人1人。</w:t>
      </w:r>
    </w:p>
    <w:p w14:paraId="2E13831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7、评审纪律、评审原则和标准将在评审会议上宣布；</w:t>
      </w:r>
    </w:p>
    <w:p w14:paraId="44C31B0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8、评标委员会成员应当遵守评审工作纪律，不得泄露评审文件、评审情况和评审中获悉的商业秘密；评标委员会在评审过程中发现投标人有行贿、提供虚假材料或者串通等违法行为的，</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应当及时向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建发纪检监察</w:t>
      </w:r>
      <w:r>
        <w:rPr>
          <w:rFonts w:hint="eastAsia" w:asciiTheme="minorEastAsia" w:hAnsiTheme="minorEastAsia" w:eastAsiaTheme="minorEastAsia" w:cstheme="minorEastAsia"/>
          <w:i w:val="0"/>
          <w:iCs w:val="0"/>
          <w:caps w:val="0"/>
          <w:color w:val="1F2329"/>
          <w:spacing w:val="0"/>
          <w:sz w:val="24"/>
          <w:szCs w:val="24"/>
          <w:highlight w:val="none"/>
          <w:shd w:val="clear" w:fill="FFFFFF"/>
        </w:rPr>
        <w:t>部门报告。</w:t>
      </w:r>
    </w:p>
    <w:p w14:paraId="5536FA6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评标委员会成员应当按照客观、公正、审慎的原则，根据询比采购文件规定的评审程序、评审方法和评审标准进行独立评审。未实质性响应询比采购文件的询比采购投标文件按无效投标处理，评标委员会应当告知提交询比采购投标文件的投标人；</w:t>
      </w:r>
    </w:p>
    <w:p w14:paraId="636E439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10、评标委员会成员应当在评审报告上签字，对自己的评审意见承担法律责任。对评审报告有异议的，应当在评审报告上签署不同意见，并说明理由，否则视为同意评审报告；</w:t>
      </w:r>
    </w:p>
    <w:p w14:paraId="5890531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11、询比采购文件内容违反国家有关强制性规定的，评标委员会应当停止评审并向采购人或者采购招标人说明情况；</w:t>
      </w:r>
    </w:p>
    <w:p w14:paraId="08ED395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12、采购人、采购招标人不得向评标委员会的评审专家作倾向性、误导性的解释或者说明；</w:t>
      </w:r>
    </w:p>
    <w:p w14:paraId="7AA0106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13、政府采购评审专家应当配合采购人或者采购招标人答复投标人的询问和质疑。</w:t>
      </w:r>
    </w:p>
    <w:p w14:paraId="1BFCAF4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（三）询比采购投标文件的审查</w:t>
      </w:r>
    </w:p>
    <w:p w14:paraId="4ED0C0D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资格审查采购人或者采购招标人应当依法对投标人询比采购投标文件中的资格证明等进行审查，以确定投标人是否具备投标资格。不满足“资格性审查响应对照表”其中一项的，其递交的询比采购投标文件视为无效，合格的询比采购投标文件将进入下一步评审，合格投标人不足3家的，不进入评标环节。</w:t>
      </w:r>
    </w:p>
    <w:p w14:paraId="17818A7B">
      <w:pPr>
        <w:keepNext w:val="0"/>
        <w:keepLines w:val="0"/>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资格性审查响应对照表</w:t>
      </w:r>
    </w:p>
    <w:tbl>
      <w:tblPr>
        <w:tblStyle w:val="1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509"/>
        <w:gridCol w:w="2115"/>
        <w:gridCol w:w="746"/>
      </w:tblGrid>
      <w:tr w14:paraId="5C93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C675FF8">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796B17BE">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资格审查标准</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0720C17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4F80E9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1C3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BB9E28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72284F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有效的企业营业执照副本、税务登记证副本、组织机构代码证副本（三证合一或五证合一的企业只需提供具有统一社会信用代码独立法人的营业执照副本）</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72BC1A4">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C757BD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37E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789DE28">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01B4A75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银行开户许可证（或取消开户许可证的须提供基本存款账户银行备案资料）</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395DAB9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98AADE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142C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10ED44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60DE0EC">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法定代表人身份证明书原件和授权委托书原件（法定代表人参加投标的，不需要提供授权委托书原件）</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538773A1">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41728B6">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0D82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EE4D10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4</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3F2DC350">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参加政府采购前3年内无重大违法记录书面声明</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3A2EAFA">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3287BB2">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6D8A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DF516AD">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5</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94D3E3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114D7E9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由采购人或者采购招标人将对投标人信用记录进行现场查询和甄别</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93485C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061D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32DFF45">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6</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F0DB42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lang w:bidi="ar"/>
              </w:rPr>
              <w:t>供应商诚信承诺书</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8785DCC">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7DCCEF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bl>
    <w:p w14:paraId="2961E9D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2、</w:t>
      </w:r>
      <w:r>
        <w:rPr>
          <w:rFonts w:hint="eastAsia" w:asciiTheme="minorEastAsia" w:hAnsiTheme="minorEastAsia" w:eastAsiaTheme="minorEastAsia" w:cstheme="minorEastAsia"/>
          <w:i w:val="0"/>
          <w:iCs w:val="0"/>
          <w:caps w:val="0"/>
          <w:color w:val="1F2329"/>
          <w:spacing w:val="0"/>
          <w:sz w:val="24"/>
          <w:szCs w:val="24"/>
          <w:shd w:val="clear" w:fill="FFFFFF"/>
        </w:rPr>
        <w:t>符合性审查</w:t>
      </w:r>
    </w:p>
    <w:p w14:paraId="0510961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评标委员会应当对符合资格的投标人的询比采购投标文件进行符合性审查，以确定其是否满足询比采购文件的实质性要求。</w:t>
      </w:r>
    </w:p>
    <w:p w14:paraId="6309997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审查所有询比采购投标文件是否实质上响应并符合询比采购文件要求的全部条款、条件和规格。评标委员会决定询比采购投标文件的实质响应性只根据询比采购投标文件本身的内容，而不寻求外部的证据。如果询比采购投标文件实质上没有响应询比采购文件的要求，评标委员会将予以拒绝，投标人不得通过修正或撤销不合要求的偏离或保留从而使其询比采购投标文件成为实质上的询比采购投标文件。</w:t>
      </w:r>
    </w:p>
    <w:p w14:paraId="545B91C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对于询比采购投标文件中含义不明确、同类问题表述不一致或者有明显文字和计算错误的内容，评标委员会应当以书面形式要求投标人作出必要的澄清、说明或者补正。</w:t>
      </w:r>
    </w:p>
    <w:p w14:paraId="33FA9C6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投标人的澄清、说明或者补正应当采用书面形式，并由法定代表人或其授权的代表签字。投标人的澄清、说明或者补正不得超出询比采购投标文件的范围或者改变询比采购投标文件的实质性内容。</w:t>
      </w:r>
    </w:p>
    <w:p w14:paraId="2A53EB5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参与资格后审的投标人的询比采购投标文件按下表中所要求的资料进行符合性审查。不满足“符合性审查响应对照表”其中一项的或询比采购投标文件中含有采购人不能接受的附加条件的，由评标委员会评审不予通过，合格的询比采购投标文件将进入下一步评审：</w:t>
      </w:r>
    </w:p>
    <w:p w14:paraId="259FFAF8">
      <w:pPr>
        <w:keepNext w:val="0"/>
        <w:keepLines w:val="0"/>
        <w:pageBreakBefore w:val="0"/>
        <w:widowControl/>
        <w:kinsoku/>
        <w:wordWrap/>
        <w:overflowPunct/>
        <w:topLinePunct w:val="0"/>
        <w:bidi w:val="0"/>
        <w:spacing w:line="560" w:lineRule="exac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符合性审查响应对照表</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514"/>
        <w:gridCol w:w="2452"/>
        <w:gridCol w:w="4496"/>
      </w:tblGrid>
      <w:tr w14:paraId="5D4C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1606D525">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18703F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资格评审标准</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5AF8F9EC">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1D26FC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739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135C5EC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3DF2286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投标函</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4290D54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7AA93C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7103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4C9BE5A9">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AC7BA0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投标报价表</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7F211E6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投标报价小于等于采购预算</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487BD08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kern w:val="0"/>
                <w:sz w:val="24"/>
                <w:szCs w:val="24"/>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2F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2E40AD00">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40C2F3F7">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询比采购投标文件的式样和签署</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7DC940B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符合询比采购文件中询比采购投标文件的式样和签署要求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035746E3">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1417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5981D157">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0E7D75DE">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技术参数响应及偏离表</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6A7E4CC8">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按询比采购文件要求格式提供，投标人技术指标、参数满足询比采购文件中货物技术规格及要求规定的相应技术指标、参数的</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1AAEC7EB">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756E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0A36C454">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43DB430">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询比采购投标文件中提供的其他资料”和货物技术规格及要求、商务条款</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16F2EAF1">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满足或优于询比采购文件相关要求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3EAAE10D">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r w14:paraId="2B0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86" w:type="pct"/>
            <w:tcBorders>
              <w:top w:val="single" w:color="auto" w:sz="4" w:space="0"/>
              <w:left w:val="single" w:color="auto" w:sz="4" w:space="0"/>
              <w:bottom w:val="single" w:color="auto" w:sz="4" w:space="0"/>
              <w:right w:val="single" w:color="auto" w:sz="4" w:space="0"/>
            </w:tcBorders>
            <w:noWrap w:val="0"/>
            <w:vAlign w:val="center"/>
          </w:tcPr>
          <w:p w14:paraId="6B013763">
            <w:pPr>
              <w:keepNext w:val="0"/>
              <w:keepLines w:val="0"/>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61F88AEA">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法律、法规和询比采购文件规定的其他无效情形的</w:t>
            </w:r>
          </w:p>
        </w:tc>
        <w:tc>
          <w:tcPr>
            <w:tcW w:w="1336" w:type="pct"/>
            <w:tcBorders>
              <w:top w:val="single" w:color="auto" w:sz="4" w:space="0"/>
              <w:left w:val="single" w:color="auto" w:sz="4" w:space="0"/>
              <w:bottom w:val="single" w:color="auto" w:sz="4" w:space="0"/>
              <w:right w:val="single" w:color="auto" w:sz="4" w:space="0"/>
            </w:tcBorders>
            <w:noWrap w:val="0"/>
            <w:vAlign w:val="center"/>
          </w:tcPr>
          <w:p w14:paraId="0809C015">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满足或优于法律、法规和询比采购文件相关要求</w:t>
            </w:r>
          </w:p>
        </w:tc>
        <w:tc>
          <w:tcPr>
            <w:tcW w:w="2450" w:type="pct"/>
            <w:tcBorders>
              <w:top w:val="single" w:color="auto" w:sz="4" w:space="0"/>
              <w:left w:val="single" w:color="auto" w:sz="4" w:space="0"/>
              <w:bottom w:val="single" w:color="auto" w:sz="4" w:space="0"/>
              <w:right w:val="single" w:color="auto" w:sz="4" w:space="0"/>
            </w:tcBorders>
            <w:noWrap w:val="0"/>
            <w:vAlign w:val="center"/>
          </w:tcPr>
          <w:p w14:paraId="2D7D876F">
            <w:pPr>
              <w:keepNext w:val="0"/>
              <w:keepLines w:val="0"/>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rPr>
            </w:pPr>
          </w:p>
        </w:tc>
      </w:tr>
    </w:tbl>
    <w:p w14:paraId="4B308A4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（四）</w:t>
      </w:r>
      <w:r>
        <w:rPr>
          <w:rFonts w:hint="eastAsia" w:asciiTheme="minorEastAsia" w:hAnsiTheme="minorEastAsia" w:eastAsiaTheme="minorEastAsia" w:cstheme="minorEastAsia"/>
          <w:i w:val="0"/>
          <w:iCs w:val="0"/>
          <w:caps w:val="0"/>
          <w:color w:val="1F2329"/>
          <w:spacing w:val="0"/>
          <w:sz w:val="24"/>
          <w:szCs w:val="24"/>
          <w:shd w:val="clear" w:fill="FFFFFF"/>
        </w:rPr>
        <w:t>有下列情形之一的，视为投标人串通投标，其投标无效：</w:t>
      </w:r>
    </w:p>
    <w:p w14:paraId="7CD4E26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1、不同投标人的询比采购投标文件由同一单位或者个人编制；</w:t>
      </w:r>
    </w:p>
    <w:p w14:paraId="759DDE4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2、不同投标人委托同一单位或者个人办理投标事宜；</w:t>
      </w:r>
    </w:p>
    <w:p w14:paraId="7435390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3、不同投标人的询比采购投标文件载明的项目管理成员或者联系人员为同一人；</w:t>
      </w:r>
    </w:p>
    <w:p w14:paraId="70A2C65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4、不同投标人的询比采购投标文件异常一致或者投标报价呈规律性差异；</w:t>
      </w:r>
    </w:p>
    <w:p w14:paraId="51237DC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5、不同投标人的询比采购投标文件相互混装；</w:t>
      </w:r>
    </w:p>
    <w:p w14:paraId="2DB7B6A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6、不同投标人的投标保证金从同一单位或者个人的账户转出。</w:t>
      </w:r>
    </w:p>
    <w:p w14:paraId="018731D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0924CC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六、评分方法—综合评分法评标委员会对所有供应商的所投项目内容响应程度、售后服务、价格因素及其他情况进行综合审查，以确定其是否实质性响应询比采购文件。根据评分标准，采用综合评分法进行评分，按综合得分高低排序并推荐前三名预中标候选人，询比采购投标文件满足询比采购文件全部实质性要求，且按照评审因素的量化指标评审得分最高的投标人为排名第一的中标候选人,各专家的评分的算术平均值，即为该单位的综合得分。</w:t>
      </w:r>
    </w:p>
    <w:p w14:paraId="69A433A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如出现综合得分第一并列的情形（得分最高的投标单位有两家），应当将投标报价较低的推荐为第一中标候选人，投标报价较高推荐为第二中标候选人；如综合得分第二遇到并列情形，以此类推。</w:t>
      </w:r>
    </w:p>
    <w:p w14:paraId="57E6C59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得分最高的投标单位有两家）且报价也相同的情形，应当将“技术标响应情况（技术指标、参数）”得分较高的推荐为第一中标候选人，该项得分较低推荐为第二中标候选人；如出现综合得分第二并列且报价也相同的情形，以此类推。</w:t>
      </w:r>
    </w:p>
    <w:p w14:paraId="3713CB2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提供相同品牌产品且通过资格审查、符合性审查的不同投标人参加本项目投标情形的，按一家投标人计算，评审后得分最高的同品牌投标人获得中标人推荐资格；评审得分相同的，将由报价最低的投标人获得中标人推荐资格，其他同品牌投标人不作为中标候选人。</w:t>
      </w:r>
    </w:p>
    <w:p w14:paraId="39F931BE">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i w:val="0"/>
          <w:iCs w:val="0"/>
          <w:caps w:val="0"/>
          <w:color w:val="1F2329"/>
          <w:spacing w:val="0"/>
          <w:sz w:val="24"/>
          <w:szCs w:val="24"/>
          <w:highlight w:val="none"/>
          <w:shd w:val="clear" w:fill="FFFFFF"/>
        </w:rPr>
      </w:pPr>
      <w:r>
        <w:rPr>
          <w:rFonts w:hint="eastAsia" w:asciiTheme="minorEastAsia" w:hAnsiTheme="minorEastAsia" w:eastAsiaTheme="minorEastAsia" w:cstheme="minorEastAsia"/>
          <w:b/>
          <w:bCs/>
          <w:i w:val="0"/>
          <w:iCs w:val="0"/>
          <w:caps w:val="0"/>
          <w:color w:val="1F2329"/>
          <w:spacing w:val="0"/>
          <w:sz w:val="24"/>
          <w:szCs w:val="24"/>
          <w:highlight w:val="none"/>
          <w:shd w:val="clear" w:fill="FFFFFF"/>
        </w:rPr>
        <w:t>综合评分表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91"/>
        <w:gridCol w:w="1100"/>
        <w:gridCol w:w="6107"/>
      </w:tblGrid>
      <w:tr w14:paraId="4F2E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40F5894C">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F01B528">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评分项目</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9C66196">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标准分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B2F12BD">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评分标准</w:t>
            </w:r>
          </w:p>
        </w:tc>
      </w:tr>
      <w:tr w14:paraId="441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34DAC46">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8FDD2B2">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投标报价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CB0B24">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5DF13932">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所有算术修正后的投标报价由低到高进行排序，投标价格最低的投标报价为评标基准价，其价格分为满分。价格分统一公式计算：投标报价得分=（投标基准价/投标报价）×0.1×100。注：依据财库[2011]181号关于印发《政府采购促进中小企业发展暂行办法》的通知，此项目投标单位如为小型和微型企业，其投标产品的价格给予6%的扣除，用扣除后的价格参与评审。投标人须附《中小企业声明函》及相关证明材料，否则将不被认可。</w:t>
            </w:r>
          </w:p>
        </w:tc>
      </w:tr>
      <w:tr w14:paraId="5F72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E530E01">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5557F18">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9D4693B">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15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27755947">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项目实施方案论述全面、合理（涵盖</w:t>
            </w:r>
            <w:r>
              <w:rPr>
                <w:rFonts w:hint="eastAsia" w:asciiTheme="minorEastAsia" w:hAnsiTheme="minorEastAsia" w:eastAsiaTheme="minorEastAsia" w:cstheme="minorEastAsia"/>
                <w:sz w:val="24"/>
                <w:szCs w:val="24"/>
                <w:highlight w:val="none"/>
                <w:lang w:val="en-US" w:eastAsia="zh-CN" w:bidi="ar"/>
              </w:rPr>
              <w:t>安全保卫</w:t>
            </w:r>
            <w:r>
              <w:rPr>
                <w:rFonts w:hint="eastAsia" w:asciiTheme="minorEastAsia" w:hAnsiTheme="minorEastAsia" w:eastAsiaTheme="minorEastAsia" w:cstheme="minorEastAsia"/>
                <w:sz w:val="24"/>
                <w:szCs w:val="24"/>
                <w:highlight w:val="none"/>
                <w:lang w:bidi="ar"/>
              </w:rPr>
              <w:t>各环节流程、人员安排、设备保障等）的得10-15分；项目实施方案论述全面、合理性一般的得5-9.9分；项目实施方案论述全面、合理性差的得0-4.9分。</w:t>
            </w:r>
          </w:p>
        </w:tc>
      </w:tr>
      <w:tr w14:paraId="3CE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0816F4E3">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AC2D850">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售后服务承诺</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7F4825">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3993838">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投标人根据项目特点，有完善的售后服务体系，服务措施完善，有科学合理的服务方案（含包含由</w:t>
            </w:r>
            <w:r>
              <w:rPr>
                <w:rFonts w:hint="eastAsia" w:asciiTheme="minorEastAsia" w:hAnsiTheme="minorEastAsia" w:eastAsiaTheme="minorEastAsia" w:cstheme="minorEastAsia"/>
                <w:sz w:val="24"/>
                <w:szCs w:val="24"/>
                <w:highlight w:val="none"/>
                <w:lang w:eastAsia="zh-CN" w:bidi="ar"/>
              </w:rPr>
              <w:t>乙方</w:t>
            </w:r>
            <w:r>
              <w:rPr>
                <w:rFonts w:hint="eastAsia" w:asciiTheme="minorEastAsia" w:hAnsiTheme="minorEastAsia" w:eastAsiaTheme="minorEastAsia" w:cstheme="minorEastAsia"/>
                <w:sz w:val="24"/>
                <w:szCs w:val="24"/>
                <w:highlight w:val="none"/>
                <w:lang w:bidi="ar"/>
              </w:rPr>
              <w:t>承担的对讲机、安保服装、照明灯、应急包等材料费等）的得</w:t>
            </w:r>
            <w:r>
              <w:rPr>
                <w:rFonts w:hint="eastAsia" w:asciiTheme="minorEastAsia" w:hAnsiTheme="minorEastAsia" w:eastAsiaTheme="minorEastAsia" w:cstheme="minorEastAsia"/>
                <w:sz w:val="24"/>
                <w:szCs w:val="24"/>
                <w:highlight w:val="none"/>
                <w:lang w:val="en-US" w:eastAsia="zh-CN" w:bidi="ar"/>
              </w:rPr>
              <w:t>25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分；投标人根据项目特点，有较为完善的售后服务体系，服务措施较具体，有较合理的服务方案，得</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24</w:t>
            </w:r>
            <w:r>
              <w:rPr>
                <w:rFonts w:hint="eastAsia" w:asciiTheme="minorEastAsia" w:hAnsiTheme="minorEastAsia" w:eastAsiaTheme="minorEastAsia" w:cstheme="minorEastAsia"/>
                <w:sz w:val="24"/>
                <w:szCs w:val="24"/>
                <w:highlight w:val="none"/>
                <w:lang w:bidi="ar"/>
              </w:rPr>
              <w:t>分；投标人根据项目特点，有售后服务体系，有明确的服务措施和服务方案，得0-</w:t>
            </w:r>
            <w:r>
              <w:rPr>
                <w:rFonts w:hint="eastAsia" w:asciiTheme="minorEastAsia" w:hAnsiTheme="minorEastAsia" w:eastAsiaTheme="minorEastAsia" w:cstheme="minorEastAsia"/>
                <w:sz w:val="24"/>
                <w:szCs w:val="24"/>
                <w:highlight w:val="none"/>
                <w:lang w:val="en-US" w:eastAsia="zh-CN" w:bidi="ar"/>
              </w:rPr>
              <w:t>14</w:t>
            </w:r>
            <w:r>
              <w:rPr>
                <w:rFonts w:hint="eastAsia" w:asciiTheme="minorEastAsia" w:hAnsiTheme="minorEastAsia" w:eastAsiaTheme="minorEastAsia" w:cstheme="minorEastAsia"/>
                <w:sz w:val="24"/>
                <w:szCs w:val="24"/>
                <w:highlight w:val="none"/>
                <w:lang w:bidi="ar"/>
              </w:rPr>
              <w:t>分，其他情况不得分。</w:t>
            </w:r>
          </w:p>
        </w:tc>
      </w:tr>
      <w:tr w14:paraId="1FF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F6F61B4">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A303E3C">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驻场运维方案及保障措施</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A7FD22">
            <w:pPr>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9547BD8">
            <w:pPr>
              <w:keepNext w:val="0"/>
              <w:keepLines w:val="0"/>
              <w:pageBreakBefore w:val="0"/>
              <w:kinsoku/>
              <w:wordWrap/>
              <w:overflowPunct/>
              <w:topLinePunct w:val="0"/>
              <w:bidi w:val="0"/>
              <w:spacing w:line="560" w:lineRule="exact"/>
              <w:jc w:val="left"/>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方案论述全面、合理（含驻场人员配置、工作时间安排、应急保障机制等）的得</w:t>
            </w:r>
            <w:r>
              <w:rPr>
                <w:rFonts w:hint="eastAsia" w:asciiTheme="minorEastAsia" w:hAnsiTheme="minorEastAsia" w:eastAsiaTheme="minorEastAsia" w:cstheme="minorEastAsia"/>
                <w:sz w:val="24"/>
                <w:szCs w:val="24"/>
                <w:highlight w:val="none"/>
                <w:lang w:val="en-US" w:eastAsia="zh-CN" w:bidi="ar"/>
              </w:rPr>
              <w:t>15-20</w:t>
            </w:r>
            <w:r>
              <w:rPr>
                <w:rFonts w:hint="eastAsia" w:asciiTheme="minorEastAsia" w:hAnsiTheme="minorEastAsia" w:eastAsiaTheme="minorEastAsia" w:cstheme="minorEastAsia"/>
                <w:sz w:val="24"/>
                <w:szCs w:val="24"/>
                <w:highlight w:val="none"/>
                <w:lang w:bidi="ar"/>
              </w:rPr>
              <w:t>分；方案论述全面、合理性一般的得</w:t>
            </w:r>
            <w:r>
              <w:rPr>
                <w:rFonts w:hint="eastAsia" w:asciiTheme="minorEastAsia" w:hAnsiTheme="minorEastAsia" w:eastAsiaTheme="minorEastAsia" w:cstheme="minorEastAsia"/>
                <w:sz w:val="24"/>
                <w:szCs w:val="24"/>
                <w:highlight w:val="none"/>
                <w:lang w:val="en-US" w:eastAsia="zh-CN" w:bidi="ar"/>
              </w:rPr>
              <w:t>10</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分；方案论述全面、合理性差的得0-</w:t>
            </w: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分。</w:t>
            </w:r>
          </w:p>
        </w:tc>
      </w:tr>
      <w:tr w14:paraId="7CF2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523B3657">
            <w:pPr>
              <w:pStyle w:val="23"/>
              <w:keepNext w:val="0"/>
              <w:keepLines w:val="0"/>
              <w:pageBreakBefore w:val="0"/>
              <w:kinsoku/>
              <w:wordWrap/>
              <w:overflowPunct/>
              <w:topLinePunct w:val="0"/>
              <w:bidi w:val="0"/>
              <w:spacing w:line="560" w:lineRule="exact"/>
              <w:ind w:left="16" w:leftChars="0" w:right="0" w:rightChars="0"/>
              <w:jc w:val="center"/>
              <w:textAlignment w:val="auto"/>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5</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70B1C8D">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highlight w:val="none"/>
              </w:rPr>
            </w:pPr>
          </w:p>
          <w:p w14:paraId="710CB6B5">
            <w:pPr>
              <w:pStyle w:val="23"/>
              <w:keepNext w:val="0"/>
              <w:keepLines w:val="0"/>
              <w:pageBreakBefore w:val="0"/>
              <w:kinsoku/>
              <w:wordWrap/>
              <w:overflowPunct/>
              <w:topLinePunct w:val="0"/>
              <w:bidi w:val="0"/>
              <w:spacing w:line="560" w:lineRule="exact"/>
              <w:ind w:left="0" w:leftChars="0" w:right="34" w:rightChars="16" w:firstLine="0" w:firstLineChars="0"/>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同类</w:t>
            </w:r>
          </w:p>
          <w:p w14:paraId="76C509AE">
            <w:pPr>
              <w:pStyle w:val="23"/>
              <w:keepNext w:val="0"/>
              <w:keepLines w:val="0"/>
              <w:pageBreakBefore w:val="0"/>
              <w:kinsoku/>
              <w:wordWrap/>
              <w:overflowPunct/>
              <w:topLinePunct w:val="0"/>
              <w:bidi w:val="0"/>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业绩</w:t>
            </w:r>
          </w:p>
        </w:tc>
        <w:tc>
          <w:tcPr>
            <w:tcW w:w="1100" w:type="dxa"/>
            <w:tcBorders>
              <w:top w:val="single" w:color="auto" w:sz="4" w:space="0"/>
              <w:left w:val="single" w:color="auto" w:sz="4" w:space="0"/>
              <w:bottom w:val="single" w:color="auto" w:sz="4" w:space="0"/>
              <w:right w:val="single" w:color="auto" w:sz="4" w:space="0"/>
            </w:tcBorders>
            <w:noWrap w:val="0"/>
            <w:vAlign w:val="top"/>
          </w:tcPr>
          <w:p w14:paraId="7F3C0AC1">
            <w:pPr>
              <w:pStyle w:val="23"/>
              <w:keepNext w:val="0"/>
              <w:keepLines w:val="0"/>
              <w:pageBreakBefore w:val="0"/>
              <w:widowControl w:val="0"/>
              <w:kinsoku/>
              <w:wordWrap/>
              <w:overflowPunct/>
              <w:topLinePunct w:val="0"/>
              <w:autoSpaceDE w:val="0"/>
              <w:autoSpaceDN w:val="0"/>
              <w:bidi w:val="0"/>
              <w:adjustRightInd/>
              <w:snapToGrid/>
              <w:spacing w:before="2" w:line="560" w:lineRule="exact"/>
              <w:ind w:left="0"/>
              <w:jc w:val="center"/>
              <w:textAlignment w:val="auto"/>
              <w:rPr>
                <w:rFonts w:hint="eastAsia" w:asciiTheme="minorEastAsia" w:hAnsiTheme="minorEastAsia" w:eastAsiaTheme="minorEastAsia" w:cstheme="minorEastAsia"/>
                <w:b/>
                <w:sz w:val="24"/>
                <w:szCs w:val="24"/>
                <w:highlight w:val="none"/>
                <w:lang w:val="en-US" w:eastAsia="zh-CN"/>
              </w:rPr>
            </w:pPr>
          </w:p>
          <w:p w14:paraId="1D2511F0">
            <w:pPr>
              <w:pStyle w:val="23"/>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top"/>
          </w:tcPr>
          <w:p w14:paraId="58A14194">
            <w:pPr>
              <w:pStyle w:val="23"/>
              <w:keepNext w:val="0"/>
              <w:keepLines w:val="0"/>
              <w:pageBreakBefore w:val="0"/>
              <w:kinsoku/>
              <w:wordWrap/>
              <w:overflowPunct/>
              <w:topLinePunct w:val="0"/>
              <w:bidi w:val="0"/>
              <w:spacing w:before="94" w:line="560" w:lineRule="exact"/>
              <w:ind w:left="110" w:leftChars="0"/>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根据供应商的业绩情况进行评审，提供近三年</w:t>
            </w:r>
            <w:r>
              <w:rPr>
                <w:rFonts w:hint="eastAsia" w:asciiTheme="minorEastAsia" w:hAnsiTheme="minorEastAsia" w:eastAsiaTheme="minorEastAsia" w:cstheme="minorEastAsia"/>
                <w:sz w:val="24"/>
                <w:szCs w:val="24"/>
                <w:highlight w:val="none"/>
                <w:lang w:val="en-US" w:eastAsia="zh-CN"/>
              </w:rPr>
              <w:t>内</w:t>
            </w:r>
            <w:r>
              <w:rPr>
                <w:rFonts w:hint="eastAsia" w:asciiTheme="minorEastAsia" w:hAnsiTheme="minorEastAsia" w:eastAsiaTheme="minorEastAsia" w:cstheme="minorEastAsia"/>
                <w:sz w:val="24"/>
                <w:szCs w:val="24"/>
                <w:highlight w:val="none"/>
              </w:rPr>
              <w:t>（以合同签订时间为准）的至少 2 个服务满一年的</w:t>
            </w:r>
            <w:r>
              <w:rPr>
                <w:rFonts w:hint="eastAsia" w:asciiTheme="minorEastAsia" w:hAnsiTheme="minorEastAsia" w:eastAsiaTheme="minorEastAsia" w:cstheme="minorEastAsia"/>
                <w:sz w:val="24"/>
                <w:szCs w:val="24"/>
                <w:highlight w:val="none"/>
                <w:lang w:val="en-US" w:eastAsia="zh-CN"/>
              </w:rPr>
              <w:t>写字楼、对公项目保洁</w:t>
            </w:r>
            <w:r>
              <w:rPr>
                <w:rFonts w:hint="eastAsia" w:asciiTheme="minorEastAsia" w:hAnsiTheme="minorEastAsia" w:eastAsiaTheme="minorEastAsia" w:cstheme="minorEastAsia"/>
                <w:sz w:val="24"/>
                <w:szCs w:val="24"/>
                <w:highlight w:val="none"/>
              </w:rPr>
              <w:t>业务合同</w:t>
            </w:r>
            <w:r>
              <w:rPr>
                <w:rFonts w:hint="eastAsia" w:asciiTheme="minorEastAsia" w:hAnsiTheme="minorEastAsia" w:eastAsiaTheme="minorEastAsia" w:cstheme="minorEastAsia"/>
                <w:sz w:val="24"/>
                <w:szCs w:val="24"/>
                <w:highlight w:val="none"/>
                <w:lang w:val="en-US" w:eastAsia="zh-CN"/>
              </w:rPr>
              <w:t>业绩</w:t>
            </w:r>
            <w:r>
              <w:rPr>
                <w:rFonts w:hint="eastAsia" w:asciiTheme="minorEastAsia" w:hAnsiTheme="minorEastAsia" w:eastAsiaTheme="minorEastAsia" w:cstheme="minorEastAsia"/>
                <w:sz w:val="24"/>
                <w:szCs w:val="24"/>
                <w:highlight w:val="none"/>
              </w:rPr>
              <w:t>，并具有履行合同所必需的服务供应和专业技术能力。业绩证明文件包括但不限于：合同首页、服务范围、合同双方盖章的签署页，按</w:t>
            </w:r>
            <w:r>
              <w:rPr>
                <w:rFonts w:hint="eastAsia" w:asciiTheme="minorEastAsia" w:hAnsiTheme="minorEastAsia" w:eastAsiaTheme="minorEastAsia" w:cstheme="minorEastAsia"/>
                <w:sz w:val="24"/>
                <w:szCs w:val="24"/>
                <w:highlight w:val="none"/>
                <w:lang w:val="en-US" w:eastAsia="zh-CN"/>
              </w:rPr>
              <w:t>询比采购</w:t>
            </w:r>
            <w:r>
              <w:rPr>
                <w:rFonts w:hint="eastAsia" w:asciiTheme="minorEastAsia" w:hAnsiTheme="minorEastAsia" w:eastAsiaTheme="minorEastAsia" w:cstheme="minorEastAsia"/>
                <w:sz w:val="24"/>
                <w:szCs w:val="24"/>
                <w:highlight w:val="none"/>
              </w:rPr>
              <w:t>文件 要求提供以上合同业绩清单。提供一个得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5分。</w:t>
            </w:r>
          </w:p>
        </w:tc>
      </w:tr>
    </w:tbl>
    <w:p w14:paraId="043659A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评标结果的确定</w:t>
      </w:r>
    </w:p>
    <w:p w14:paraId="452CE4A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根据对供应商询比采购投标文件的评审结果，最终确定具有履行合同义务的条件、资质合格、技术指标符合需求、产品质量优良、报价合理且未超出采购预算的供应商为中标供应商。采购招标人将于采购人依法确定中标人之日起2个工作日内，在张家口建发集团网站公告中标结果，中标公告期限为1个工作日。在公告期间若有对中标供应商的反映，并经核实反映情况属实，将取消其中标资格，由预中标候选人（综合得分次高且报价未超出采购预算的供应商）替补，以此类推。采购人也可以按照相关法律、法规重新组织招标。</w:t>
      </w:r>
    </w:p>
    <w:p w14:paraId="45FFDDC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2、中标供应商在中标公告发布后</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1</w:t>
      </w:r>
      <w:r>
        <w:rPr>
          <w:rFonts w:hint="eastAsia" w:asciiTheme="minorEastAsia" w:hAnsiTheme="minorEastAsia" w:eastAsiaTheme="minorEastAsia" w:cstheme="minorEastAsia"/>
          <w:i w:val="0"/>
          <w:iCs w:val="0"/>
          <w:caps w:val="0"/>
          <w:color w:val="1F2329"/>
          <w:spacing w:val="0"/>
          <w:sz w:val="24"/>
          <w:szCs w:val="24"/>
          <w:shd w:val="clear" w:fill="FFFFFF"/>
        </w:rPr>
        <w:t>个工作日</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内到公司领</w:t>
      </w:r>
      <w:r>
        <w:rPr>
          <w:rFonts w:hint="eastAsia" w:asciiTheme="minorEastAsia" w:hAnsiTheme="minorEastAsia" w:eastAsiaTheme="minorEastAsia" w:cstheme="minorEastAsia"/>
          <w:i w:val="0"/>
          <w:iCs w:val="0"/>
          <w:caps w:val="0"/>
          <w:color w:val="1F2329"/>
          <w:spacing w:val="0"/>
          <w:sz w:val="24"/>
          <w:szCs w:val="24"/>
          <w:shd w:val="clear" w:fill="FFFFFF"/>
        </w:rPr>
        <w:t>取中标通知书，如未按期领取而产生的一切后果，均由中标供应商承担。</w:t>
      </w:r>
    </w:p>
    <w:p w14:paraId="20259AA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3、质疑与投诉投标人对政府采购活动事项有质疑的，可以向采购人或采购招标人提出询问或者质疑。质疑投标人对采购人或采购招标人的答复不满意或者没有答复的，</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可向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建发集团</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投诉。质疑</w:t>
      </w:r>
      <w:r>
        <w:rPr>
          <w:rFonts w:hint="eastAsia" w:asciiTheme="minorEastAsia" w:hAnsiTheme="minorEastAsia" w:eastAsiaTheme="minorEastAsia" w:cstheme="minorEastAsia"/>
          <w:i w:val="0"/>
          <w:iCs w:val="0"/>
          <w:caps w:val="0"/>
          <w:color w:val="1F2329"/>
          <w:spacing w:val="0"/>
          <w:sz w:val="24"/>
          <w:szCs w:val="24"/>
          <w:shd w:val="clear" w:fill="FFFFFF"/>
        </w:rPr>
        <w:t>或者投诉要事实清楚、证据充分，质疑或者投诉材料应当包含质疑或者投诉内容、证据材料、证据材料来源等，材料中引用没有公开的询比采购文件的，要明确注明材料来源。对没有证据材料和没有提供证据材料来源的，或以道听途说、主观臆断为依据提出的，不予受理；对捏造事实、陷害诬告、破坏政府采购工作的，将向政府采购办提议列入政府采购黑名单。</w:t>
      </w:r>
    </w:p>
    <w:p w14:paraId="63266136">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七、保密及其他注意事项</w:t>
      </w:r>
    </w:p>
    <w:p w14:paraId="60969BE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1、评标是招标工作的重要环节，评标工作在评标小组内独立进行。</w:t>
      </w:r>
    </w:p>
    <w:p w14:paraId="1696B6E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2、供应商应遵守有关法律、法规，不得采取不正当的竞争手段，否则，其后果由供应商自负。</w:t>
      </w:r>
    </w:p>
    <w:p w14:paraId="44FA7D0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3、在开标直至宣布结果之前，供应商不得向评委询问评标情况，不得进行旨在影响评标结果的活动，否则，其投标无效并追究法律责任。</w:t>
      </w:r>
    </w:p>
    <w:p w14:paraId="40B0C11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4、评标过程中，评委不得与供应商私下交换意见。在招标工作结束后，凡与评标情况有接触的任何人，不得将评标情况进行泄露。</w:t>
      </w:r>
    </w:p>
    <w:p w14:paraId="6AAD569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5、评标小组不向落标方解释落标原因，投标资料一律不予退还。</w:t>
      </w:r>
    </w:p>
    <w:p w14:paraId="5C64109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八、合同</w:t>
      </w:r>
    </w:p>
    <w:p w14:paraId="051C056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（一）合同由采购人和中标供应商签订。</w:t>
      </w:r>
    </w:p>
    <w:p w14:paraId="3F63E40F">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（二）签订合同</w:t>
      </w:r>
    </w:p>
    <w:p w14:paraId="47A9077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1、中标供应商持采购人签发的中标通知书以及其它相关证件与采购人签订《</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安全保卫</w:t>
      </w:r>
      <w:r>
        <w:rPr>
          <w:rFonts w:hint="eastAsia" w:asciiTheme="minorEastAsia" w:hAnsiTheme="minorEastAsia" w:eastAsiaTheme="minorEastAsia" w:cstheme="minorEastAsia"/>
          <w:i w:val="0"/>
          <w:iCs w:val="0"/>
          <w:caps w:val="0"/>
          <w:color w:val="1F2329"/>
          <w:spacing w:val="0"/>
          <w:sz w:val="24"/>
          <w:szCs w:val="24"/>
          <w:shd w:val="clear" w:fill="FFFFFF"/>
        </w:rPr>
        <w:t>服务合同》；</w:t>
      </w:r>
    </w:p>
    <w:p w14:paraId="6483322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2、中标供应商应在中标通知书发出后30日内与采购人签订供货合同；</w:t>
      </w:r>
    </w:p>
    <w:p w14:paraId="772B07D4">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3、如中标供应商或采购人不按中标通知书规定的时间、地点等要求按时签订合同或拒绝签订合同，则按违约处理。在有关媒体公布其不良行为；采购人违约，则按照《政府采购法》有关规定处理；</w:t>
      </w:r>
    </w:p>
    <w:p w14:paraId="2F0CD5E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4、如遇中标供应商违约，由预中标候选人（综合得分次高且报价未超出采购预算的供应商）替补，以此类推；</w:t>
      </w:r>
    </w:p>
    <w:p w14:paraId="0E93CCB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5、询比采购文件、询比采购投标文件、投标现场质询记录等确认文件，均作为签订《</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安全保卫</w:t>
      </w:r>
      <w:r>
        <w:rPr>
          <w:rFonts w:hint="eastAsia" w:asciiTheme="minorEastAsia" w:hAnsiTheme="minorEastAsia" w:eastAsiaTheme="minorEastAsia" w:cstheme="minorEastAsia"/>
          <w:i w:val="0"/>
          <w:iCs w:val="0"/>
          <w:caps w:val="0"/>
          <w:color w:val="1F2329"/>
          <w:spacing w:val="0"/>
          <w:sz w:val="24"/>
          <w:szCs w:val="24"/>
          <w:shd w:val="clear" w:fill="FFFFFF"/>
        </w:rPr>
        <w:t>服务合同》之依据，并作为合同的附件。</w:t>
      </w:r>
    </w:p>
    <w:p w14:paraId="076F249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6、合同条款应严格遵循《</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安全保卫</w:t>
      </w:r>
      <w:r>
        <w:rPr>
          <w:rFonts w:hint="eastAsia" w:asciiTheme="minorEastAsia" w:hAnsiTheme="minorEastAsia" w:eastAsiaTheme="minorEastAsia" w:cstheme="minorEastAsia"/>
          <w:i w:val="0"/>
          <w:iCs w:val="0"/>
          <w:caps w:val="0"/>
          <w:color w:val="1F2329"/>
          <w:spacing w:val="0"/>
          <w:sz w:val="24"/>
          <w:szCs w:val="24"/>
          <w:shd w:val="clear" w:fill="FFFFFF"/>
        </w:rPr>
        <w:t>服务合同》的相关约定，包括服务期限、服务费用、服务内容、双方权利义务、违约责任、保密条款等核心内容。</w:t>
      </w:r>
    </w:p>
    <w:p w14:paraId="143892F9">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2D6F386F">
      <w:pPr>
        <w:pStyle w:val="2"/>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lang w:eastAsia="zh-CN"/>
        </w:rPr>
      </w:pPr>
      <w:r>
        <w:rPr>
          <w:rFonts w:hint="eastAsia" w:asciiTheme="minorEastAsia" w:hAnsiTheme="minorEastAsia" w:eastAsiaTheme="minorEastAsia" w:cstheme="minorEastAsia"/>
          <w:b w:val="0"/>
          <w:bCs w:val="0"/>
          <w:color w:val="000000"/>
          <w:sz w:val="24"/>
          <w:szCs w:val="24"/>
        </w:rPr>
        <w:t>第四部分合同草案</w:t>
      </w: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color w:val="000000"/>
          <w:sz w:val="24"/>
          <w:szCs w:val="24"/>
        </w:rPr>
        <w:t>仅供参考</w:t>
      </w:r>
      <w:r>
        <w:rPr>
          <w:rFonts w:hint="eastAsia" w:asciiTheme="minorEastAsia" w:hAnsiTheme="minorEastAsia" w:eastAsiaTheme="minorEastAsia" w:cstheme="minorEastAsia"/>
          <w:b w:val="0"/>
          <w:bCs w:val="0"/>
          <w:color w:val="000000"/>
          <w:sz w:val="24"/>
          <w:szCs w:val="24"/>
          <w:lang w:eastAsia="zh-CN"/>
        </w:rPr>
        <w:t>）</w:t>
      </w:r>
    </w:p>
    <w:p w14:paraId="6A319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p>
    <w:p w14:paraId="3618C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保洁</w:t>
      </w:r>
      <w:r>
        <w:rPr>
          <w:rFonts w:hint="eastAsia" w:asciiTheme="minorEastAsia" w:hAnsiTheme="minorEastAsia" w:eastAsiaTheme="minorEastAsia" w:cstheme="minorEastAsia"/>
          <w:b/>
          <w:bCs/>
          <w:sz w:val="24"/>
          <w:szCs w:val="24"/>
          <w:highlight w:val="none"/>
        </w:rPr>
        <w:t>服务合同</w:t>
      </w:r>
    </w:p>
    <w:p w14:paraId="5668F0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1347E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color w:val="auto"/>
          <w:sz w:val="24"/>
          <w:szCs w:val="24"/>
          <w:u w:val="single"/>
          <w:lang w:val="en-US" w:eastAsia="zh-CN"/>
        </w:rPr>
        <w:t xml:space="preserve">                                                     </w:t>
      </w:r>
    </w:p>
    <w:p w14:paraId="17A1815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063C96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699F1D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716CF2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A335C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21847F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5A7274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p>
    <w:p w14:paraId="1B84A5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color w:val="auto"/>
          <w:sz w:val="24"/>
          <w:szCs w:val="24"/>
          <w:u w:val="single"/>
          <w:lang w:val="en-US" w:eastAsia="zh-CN"/>
        </w:rPr>
        <w:t xml:space="preserve">                                                     </w:t>
      </w:r>
    </w:p>
    <w:p w14:paraId="7DF71F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0D4D24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5A5BA9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536006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449AC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181AD1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77482C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p>
    <w:p w14:paraId="1345373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根据《中华人民共和国</w:t>
      </w:r>
      <w:r>
        <w:rPr>
          <w:rFonts w:hint="eastAsia" w:asciiTheme="minorEastAsia" w:hAnsiTheme="minorEastAsia" w:eastAsiaTheme="minorEastAsia" w:cstheme="minorEastAsia"/>
          <w:color w:val="000000"/>
          <w:kern w:val="0"/>
          <w:sz w:val="28"/>
          <w:szCs w:val="28"/>
          <w:lang w:eastAsia="zh-CN"/>
        </w:rPr>
        <w:t>民法典</w:t>
      </w:r>
      <w:r>
        <w:rPr>
          <w:rFonts w:hint="eastAsia" w:asciiTheme="minorEastAsia" w:hAnsiTheme="minorEastAsia" w:eastAsiaTheme="minorEastAsia" w:cstheme="minorEastAsia"/>
          <w:color w:val="000000"/>
          <w:kern w:val="0"/>
          <w:sz w:val="28"/>
          <w:szCs w:val="28"/>
        </w:rPr>
        <w:t>》等相关法律、法规的规定，</w:t>
      </w:r>
      <w:r>
        <w:rPr>
          <w:rFonts w:hint="eastAsia" w:asciiTheme="minorEastAsia" w:hAnsiTheme="minorEastAsia" w:eastAsiaTheme="minorEastAsia" w:cstheme="minorEastAsia"/>
          <w:sz w:val="28"/>
          <w:szCs w:val="28"/>
          <w:lang w:val="zh-CN"/>
        </w:rPr>
        <w:t>甲方</w:t>
      </w:r>
      <w:r>
        <w:rPr>
          <w:rFonts w:hint="eastAsia" w:asciiTheme="minorEastAsia" w:hAnsiTheme="minorEastAsia" w:eastAsiaTheme="minorEastAsia" w:cstheme="minorEastAsia"/>
          <w:color w:val="000000"/>
          <w:sz w:val="28"/>
          <w:szCs w:val="28"/>
          <w:lang w:val="zh-CN"/>
        </w:rPr>
        <w:t>委托乙方为</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sz w:val="28"/>
          <w:szCs w:val="28"/>
          <w:lang w:val="zh-CN"/>
        </w:rPr>
        <w:t>提</w:t>
      </w:r>
      <w:r>
        <w:rPr>
          <w:rFonts w:hint="eastAsia" w:asciiTheme="minorEastAsia" w:hAnsiTheme="minorEastAsia" w:eastAsiaTheme="minorEastAsia" w:cstheme="minorEastAsia"/>
          <w:color w:val="000000"/>
          <w:kern w:val="0"/>
          <w:sz w:val="28"/>
          <w:szCs w:val="28"/>
          <w:lang w:val="zh-CN"/>
        </w:rPr>
        <w:t>供</w:t>
      </w:r>
      <w:r>
        <w:rPr>
          <w:rFonts w:hint="eastAsia" w:asciiTheme="minorEastAsia" w:hAnsiTheme="minorEastAsia" w:eastAsiaTheme="minorEastAsia" w:cstheme="minorEastAsia"/>
          <w:color w:val="000000"/>
          <w:kern w:val="0"/>
          <w:sz w:val="28"/>
          <w:szCs w:val="28"/>
          <w:lang w:val="en-US" w:eastAsia="zh-CN"/>
        </w:rPr>
        <w:t>综合</w:t>
      </w:r>
      <w:r>
        <w:rPr>
          <w:rFonts w:hint="eastAsia" w:asciiTheme="minorEastAsia" w:hAnsiTheme="minorEastAsia" w:eastAsiaTheme="minorEastAsia" w:cstheme="minorEastAsia"/>
          <w:color w:val="000000"/>
          <w:kern w:val="0"/>
          <w:sz w:val="28"/>
          <w:szCs w:val="28"/>
        </w:rPr>
        <w:t>服务，为明确双方权利义务，特订立本合同，双方共同遵守。</w:t>
      </w:r>
    </w:p>
    <w:p w14:paraId="655D6FA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p>
    <w:p w14:paraId="08C5E33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第一条 </w:t>
      </w:r>
      <w:r>
        <w:rPr>
          <w:rFonts w:hint="eastAsia" w:asciiTheme="minorEastAsia" w:hAnsiTheme="minorEastAsia" w:eastAsiaTheme="minorEastAsia" w:cstheme="minorEastAsia"/>
          <w:color w:val="000000" w:themeColor="text1"/>
          <w:sz w:val="28"/>
          <w:szCs w:val="28"/>
          <w14:textFill>
            <w14:solidFill>
              <w14:schemeClr w14:val="tx1"/>
            </w14:solidFill>
          </w14:textFill>
        </w:rPr>
        <w:t>服务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8"/>
          <w:szCs w:val="28"/>
          <w14:textFill>
            <w14:solidFill>
              <w14:schemeClr w14:val="tx1"/>
            </w14:solidFill>
          </w14:textFill>
        </w:rPr>
        <w:t>地址</w:t>
      </w:r>
    </w:p>
    <w:p w14:paraId="753748F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Theme="minorEastAsia" w:hAnsiTheme="minorEastAsia" w:eastAsiaTheme="minorEastAsia" w:cstheme="minorEastAsia"/>
          <w:color w:val="000000" w:themeColor="text1"/>
          <w:kern w:val="0"/>
          <w:sz w:val="28"/>
          <w:szCs w:val="28"/>
          <w:u w:val="none"/>
          <w:lang w:val="en-US"/>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乙方承担</w:t>
      </w: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t>甲方</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位于</w:t>
      </w:r>
      <w:r>
        <w:rPr>
          <w:rFonts w:hint="eastAsia" w:asciiTheme="minorEastAsia" w:hAnsiTheme="minorEastAsia" w:eastAsiaTheme="minorEastAsia" w:cstheme="minorEastAsia"/>
          <w:color w:val="000000" w:themeColor="text1"/>
          <w:kern w:val="0"/>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none"/>
          <w:lang w:val="en-US" w:eastAsia="zh-CN"/>
        </w:rPr>
        <w:t>的</w:t>
      </w: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服务项</w:t>
      </w:r>
      <w:r>
        <w:rPr>
          <w:rFonts w:hint="eastAsia" w:asciiTheme="minorEastAsia" w:hAnsiTheme="minorEastAsia" w:eastAsiaTheme="minorEastAsia" w:cstheme="minorEastAsia"/>
          <w:color w:val="000000" w:themeColor="text1"/>
          <w:kern w:val="0"/>
          <w:sz w:val="28"/>
          <w:szCs w:val="28"/>
          <w:u w:val="none"/>
          <w:lang w:val="en-US" w:eastAsia="zh-CN"/>
          <w14:textFill>
            <w14:solidFill>
              <w14:schemeClr w14:val="tx1"/>
            </w14:solidFill>
          </w14:textFill>
        </w:rPr>
        <w:t>目。</w:t>
      </w:r>
    </w:p>
    <w:p w14:paraId="0A00BE7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0"/>
        <w:jc w:val="both"/>
        <w:textAlignment w:val="auto"/>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8"/>
          <w:szCs w:val="28"/>
          <w:lang w:val="en-US" w:eastAsia="zh-CN"/>
        </w:rPr>
        <w:t xml:space="preserve">第二条 </w:t>
      </w:r>
      <w:r>
        <w:rPr>
          <w:rFonts w:hint="eastAsia" w:asciiTheme="minorEastAsia" w:hAnsiTheme="minorEastAsia" w:eastAsiaTheme="minorEastAsia" w:cstheme="minorEastAsia"/>
          <w:color w:val="000000"/>
          <w:sz w:val="28"/>
          <w:szCs w:val="28"/>
        </w:rPr>
        <w:t>服务期限</w:t>
      </w:r>
    </w:p>
    <w:p w14:paraId="65D6229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sz w:val="28"/>
          <w:szCs w:val="28"/>
          <w:lang w:val="en-US" w:eastAsia="zh-CN"/>
        </w:rPr>
        <w:t>本合同服务期</w:t>
      </w:r>
      <w:r>
        <w:rPr>
          <w:rFonts w:hint="eastAsia" w:asciiTheme="minorEastAsia" w:hAnsiTheme="minorEastAsia" w:eastAsia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u w:val="none"/>
          <w:lang w:val="en-US" w:eastAsia="zh-CN"/>
        </w:rPr>
        <w:t>年。</w:t>
      </w:r>
      <w:r>
        <w:rPr>
          <w:rFonts w:hint="eastAsia" w:asciiTheme="minorEastAsia" w:hAnsiTheme="minorEastAsia" w:eastAsiaTheme="minorEastAsia" w:cstheme="minorEastAsia"/>
          <w:color w:val="000000"/>
          <w:kern w:val="0"/>
          <w:sz w:val="28"/>
          <w:szCs w:val="28"/>
        </w:rPr>
        <w:t>自</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年</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月</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日起至</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年</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月</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rPr>
        <w:t>日止。</w:t>
      </w:r>
    </w:p>
    <w:p w14:paraId="366F68DD">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如若合同期满后甲方仍需乙方继续为该项目提供服务，甲乙双方需在合同到期前30天协商，双方协商达成一致意见后续签。</w:t>
      </w:r>
    </w:p>
    <w:p w14:paraId="4ABD18D1">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 xml:space="preserve">第三条 </w:t>
      </w:r>
      <w:r>
        <w:rPr>
          <w:rFonts w:hint="eastAsia" w:asciiTheme="minorEastAsia" w:hAnsiTheme="minorEastAsia" w:eastAsiaTheme="minorEastAsia" w:cstheme="minorEastAsia"/>
          <w:color w:val="000000"/>
          <w:kern w:val="0"/>
          <w:sz w:val="28"/>
          <w:szCs w:val="28"/>
          <w:lang w:val="en-US" w:eastAsia="zh-CN"/>
        </w:rPr>
        <w:t>服务费用、结算</w:t>
      </w:r>
      <w:r>
        <w:rPr>
          <w:rFonts w:hint="eastAsia" w:asciiTheme="minorEastAsia" w:hAnsiTheme="minorEastAsia" w:eastAsiaTheme="minorEastAsia" w:cstheme="minorEastAsia"/>
          <w:sz w:val="28"/>
          <w:szCs w:val="28"/>
          <w:lang w:val="en-US" w:eastAsia="zh-CN"/>
        </w:rPr>
        <w:t>方式及增值税特别约定：</w:t>
      </w:r>
    </w:p>
    <w:p w14:paraId="7927215E">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outlineLvl w:val="9"/>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一、服务费用：</w:t>
      </w:r>
    </w:p>
    <w:p w14:paraId="3D0FCE1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服务费暂定为为人民币</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lang w:val="en-US" w:eastAsia="zh-CN"/>
        </w:rPr>
        <w:t>元/月，（大写：</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lang w:val="en-US" w:eastAsia="zh-CN"/>
        </w:rPr>
        <w:t>）（含税），全年服务费为人民币</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lang w:val="en-US" w:eastAsia="zh-CN"/>
        </w:rPr>
        <w:t>元，（大写：</w:t>
      </w:r>
      <w:r>
        <w:rPr>
          <w:rFonts w:hint="eastAsia" w:asciiTheme="minorEastAsia" w:hAnsiTheme="minorEastAsia" w:eastAsiaTheme="minorEastAsia" w:cstheme="minorEastAsia"/>
          <w:color w:val="000000"/>
          <w:kern w:val="0"/>
          <w:sz w:val="28"/>
          <w:szCs w:val="28"/>
          <w:u w:val="single"/>
          <w:lang w:val="en-US" w:eastAsia="zh-CN"/>
        </w:rPr>
        <w:t xml:space="preserve">  </w:t>
      </w:r>
      <w:r>
        <w:rPr>
          <w:rFonts w:hint="eastAsia" w:asciiTheme="minorEastAsia" w:hAnsiTheme="minorEastAsia" w:eastAsiaTheme="minorEastAsia" w:cstheme="minorEastAsia"/>
          <w:color w:val="000000"/>
          <w:kern w:val="0"/>
          <w:sz w:val="28"/>
          <w:szCs w:val="28"/>
          <w:lang w:val="en-US" w:eastAsia="zh-CN"/>
        </w:rPr>
        <w:t>）（含税）。此价格为含税价，具体不含税金额及税额根据乙方实际开具发票时所适用的国家法定税率计算确定。</w:t>
      </w:r>
    </w:p>
    <w:p w14:paraId="2369C88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上述服务费为暂定金额，服务费根据乙方每月提供服务人员人次及第六条考核情况等据实结算，即每月实际发生费用按月考勤人数及考核结果计算；若有人员变动以甲方通知书为准。</w:t>
      </w:r>
    </w:p>
    <w:p w14:paraId="216D6EF4">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sz w:val="28"/>
          <w:szCs w:val="28"/>
          <w:u w:val="none"/>
          <w:lang w:val="zh-CN" w:eastAsia="zh-CN"/>
        </w:rPr>
      </w:pPr>
      <w:r>
        <w:rPr>
          <w:rFonts w:hint="eastAsia" w:asciiTheme="minorEastAsia" w:hAnsiTheme="minorEastAsia" w:eastAsiaTheme="minorEastAsia" w:cstheme="minorEastAsia"/>
          <w:sz w:val="28"/>
          <w:szCs w:val="28"/>
          <w:u w:val="none"/>
          <w:lang w:val="zh-CN" w:eastAsia="zh-CN"/>
        </w:rPr>
        <w:t>上述费用已经包含了乙方完成本合同项目工作所需的工资、保险、税金、利润等全部费用，甲方无须再向乙方支付任何费用（工服由甲方提供）。</w:t>
      </w:r>
    </w:p>
    <w:p w14:paraId="09CCBEC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二、付款方式：转账</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 xml:space="preserve">            </w:t>
      </w:r>
    </w:p>
    <w:p w14:paraId="4BF4FD40">
      <w:pPr>
        <w:pStyle w:val="13"/>
        <w:keepNext w:val="0"/>
        <w:keepLines w:val="0"/>
        <w:pageBreakBefore w:val="0"/>
        <w:widowControl w:val="0"/>
        <w:numPr>
          <w:ilvl w:val="0"/>
          <w:numId w:val="0"/>
        </w:numPr>
        <w:kinsoku/>
        <w:wordWrap/>
        <w:overflowPunct/>
        <w:topLinePunct w:val="0"/>
        <w:autoSpaceDE/>
        <w:autoSpaceDN/>
        <w:bidi w:val="0"/>
        <w:snapToGrid/>
        <w:spacing w:after="0" w:line="580" w:lineRule="exact"/>
        <w:ind w:firstLine="560" w:firstLineChars="200"/>
        <w:rPr>
          <w:rFonts w:hint="eastAsia" w:asciiTheme="minorEastAsia" w:hAnsiTheme="minorEastAsia" w:eastAsiaTheme="minorEastAsia" w:cstheme="minorEastAsia"/>
          <w:sz w:val="28"/>
          <w:szCs w:val="28"/>
          <w:highlight w:val="yellow"/>
          <w:lang w:val="en-US" w:eastAsia="zh-CN"/>
        </w:rPr>
      </w:pPr>
      <w:r>
        <w:rPr>
          <w:rFonts w:hint="eastAsia" w:asciiTheme="minorEastAsia" w:hAnsiTheme="minorEastAsia" w:eastAsiaTheme="minorEastAsia" w:cstheme="minorEastAsia"/>
          <w:sz w:val="28"/>
          <w:szCs w:val="28"/>
          <w:lang w:val="en-US" w:eastAsia="zh-CN"/>
        </w:rPr>
        <w:t>三、结算方式</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甲方</w:t>
      </w:r>
      <w:r>
        <w:rPr>
          <w:rFonts w:hint="eastAsia" w:asciiTheme="minorEastAsia" w:hAnsiTheme="minorEastAsia" w:eastAsiaTheme="minorEastAsia" w:cstheme="minorEastAsia"/>
          <w:color w:val="auto"/>
          <w:sz w:val="28"/>
          <w:szCs w:val="28"/>
          <w:highlight w:val="none"/>
          <w:lang w:val="en-US" w:eastAsia="zh-CN"/>
        </w:rPr>
        <w:t>按</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eastAsia="zh-CN"/>
        </w:rPr>
        <w:sym w:font="Wingdings 2" w:char="0052"/>
      </w:r>
      <w:r>
        <w:rPr>
          <w:rFonts w:hint="eastAsia" w:asciiTheme="minorEastAsia" w:hAnsiTheme="minorEastAsia" w:eastAsiaTheme="minorEastAsia" w:cstheme="minorEastAsia"/>
          <w:color w:val="auto"/>
          <w:sz w:val="28"/>
          <w:szCs w:val="28"/>
          <w:highlight w:val="none"/>
          <w:lang w:val="en-US" w:eastAsia="zh-CN"/>
        </w:rPr>
        <w:t>月</w:t>
      </w:r>
      <w:r>
        <w:rPr>
          <w:rFonts w:hint="eastAsia" w:asciiTheme="minorEastAsia" w:hAnsiTheme="minorEastAsia" w:eastAsiaTheme="minorEastAsia" w:cstheme="minorEastAsia"/>
          <w:color w:val="auto"/>
          <w:sz w:val="28"/>
          <w:szCs w:val="28"/>
          <w:highlight w:val="none"/>
          <w:lang w:eastAsia="zh-CN"/>
        </w:rPr>
        <w:sym w:font="Wingdings 2" w:char="00A3"/>
      </w:r>
      <w:r>
        <w:rPr>
          <w:rFonts w:hint="eastAsia" w:asciiTheme="minorEastAsia" w:hAnsiTheme="minorEastAsia" w:eastAsiaTheme="minorEastAsia" w:cstheme="minorEastAsia"/>
          <w:color w:val="auto"/>
          <w:sz w:val="28"/>
          <w:szCs w:val="28"/>
          <w:highlight w:val="none"/>
          <w:lang w:val="en-US" w:eastAsia="zh-CN"/>
        </w:rPr>
        <w:t>季度</w:t>
      </w:r>
      <w:r>
        <w:rPr>
          <w:rFonts w:hint="eastAsia" w:asciiTheme="minorEastAsia" w:hAnsiTheme="minorEastAsia" w:eastAsiaTheme="minorEastAsia" w:cstheme="minorEastAsia"/>
          <w:color w:val="auto"/>
          <w:sz w:val="28"/>
          <w:szCs w:val="28"/>
          <w:highlight w:val="none"/>
        </w:rPr>
        <w:sym w:font="Wingdings 2" w:char="00A3"/>
      </w:r>
      <w:r>
        <w:rPr>
          <w:rFonts w:hint="eastAsia" w:asciiTheme="minorEastAsia" w:hAnsiTheme="minorEastAsia" w:eastAsiaTheme="minorEastAsia" w:cstheme="minorEastAsia"/>
          <w:color w:val="auto"/>
          <w:sz w:val="28"/>
          <w:szCs w:val="28"/>
          <w:highlight w:val="none"/>
          <w:lang w:val="en-US" w:eastAsia="zh-CN"/>
        </w:rPr>
        <w:t>年</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向乙方指定账户支付</w:t>
      </w:r>
      <w:r>
        <w:rPr>
          <w:rFonts w:hint="eastAsia" w:asciiTheme="minorEastAsia" w:hAnsiTheme="minorEastAsia" w:eastAsiaTheme="minorEastAsia" w:cstheme="minorEastAsia"/>
          <w:color w:val="auto"/>
          <w:sz w:val="28"/>
          <w:szCs w:val="28"/>
          <w:highlight w:val="none"/>
          <w:lang w:val="en-US" w:eastAsia="zh-CN"/>
        </w:rPr>
        <w:t>服务费用</w:t>
      </w:r>
      <w:r>
        <w:rPr>
          <w:rFonts w:hint="eastAsia" w:asciiTheme="minorEastAsia" w:hAnsiTheme="minorEastAsia" w:eastAsiaTheme="minorEastAsia" w:cstheme="minorEastAsia"/>
          <w:color w:val="auto"/>
          <w:sz w:val="28"/>
          <w:szCs w:val="28"/>
          <w:highlight w:val="none"/>
          <w:lang w:eastAsia="zh-CN"/>
        </w:rPr>
        <w:t>。</w:t>
      </w:r>
    </w:p>
    <w:p w14:paraId="7002F41E">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sz w:val="28"/>
          <w:szCs w:val="28"/>
          <w:lang w:val="en-US" w:eastAsia="zh-CN"/>
        </w:rPr>
        <w:t>乙方应向甲方提供符合国家规定的增值税普通发票。乙方在接到甲方开票要求后7日内开具增值税普通发票并送达甲方，甲方签收发票日期为发票送达日期。</w:t>
      </w:r>
    </w:p>
    <w:p w14:paraId="7F97B4D1">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第四条 服务内容及要求</w:t>
      </w:r>
    </w:p>
    <w:p w14:paraId="2C4D364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u w:val="none"/>
          <w:lang w:val="en-US" w:eastAsia="zh-CN"/>
        </w:rPr>
      </w:pPr>
      <w:r>
        <w:rPr>
          <w:rFonts w:hint="eastAsia" w:asciiTheme="minorEastAsia" w:hAnsiTheme="minorEastAsia" w:eastAsiaTheme="minorEastAsia" w:cstheme="minorEastAsia"/>
          <w:color w:val="auto"/>
          <w:sz w:val="28"/>
          <w:szCs w:val="28"/>
          <w:highlight w:val="none"/>
          <w:u w:val="none"/>
          <w:lang w:val="en-US" w:eastAsia="zh-CN"/>
        </w:rPr>
        <w:t>详情见附件1</w:t>
      </w:r>
    </w:p>
    <w:p w14:paraId="4817322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Theme="minorEastAsia" w:hAnsiTheme="minorEastAsia" w:eastAsiaTheme="minorEastAsia" w:cstheme="minorEastAsia"/>
          <w:sz w:val="28"/>
          <w:szCs w:val="28"/>
        </w:rPr>
      </w:pPr>
      <w:bookmarkStart w:id="36" w:name="_Toc18481_WPSOffice_Level1"/>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 xml:space="preserve">第五条  </w:t>
      </w:r>
      <w:r>
        <w:rPr>
          <w:rFonts w:hint="eastAsia" w:asciiTheme="minorEastAsia" w:hAnsiTheme="minorEastAsia" w:eastAsiaTheme="minorEastAsia" w:cstheme="minorEastAsia"/>
          <w:color w:val="000000" w:themeColor="text1"/>
          <w:kern w:val="0"/>
          <w:sz w:val="28"/>
          <w:szCs w:val="28"/>
          <w:lang w:val="zh-CN" w:eastAsia="zh-CN"/>
          <w14:textFill>
            <w14:solidFill>
              <w14:schemeClr w14:val="tx1"/>
            </w14:solidFill>
          </w14:textFill>
        </w:rPr>
        <w:t>双方的权利与义务</w:t>
      </w:r>
      <w:bookmarkEnd w:id="36"/>
    </w:p>
    <w:p w14:paraId="3C3DD933">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一、甲方权利和义务</w:t>
      </w:r>
    </w:p>
    <w:p w14:paraId="2AAB9299">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lang w:val="en-US" w:eastAsia="zh-CN"/>
        </w:rPr>
        <w:t>如无特殊情况，甲方应按合同约定及时向乙方支付服务费。</w:t>
      </w:r>
    </w:p>
    <w:p w14:paraId="0E6EF143">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甲方根据实际运营情况制定岗位设置及运行方式，有权要求乙方对岗位进行调整，有权要求乙方更换不称职服务人员，乙方应在3个工作日内完成人员调换。乙方主管以上（含主管）管理人员配备必须经甲方认可，甲方有权提出意见要求乙方调换不满意的乙方人员。</w:t>
      </w:r>
    </w:p>
    <w:p w14:paraId="20119278">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甲方就本合同约定项目范围内对乙方日常服务工作、人员管理享有监督权、建议权、检查权、考核权，甲方对乙方工作进行不定期品质检查，发现问题乙方需及时改正。</w:t>
      </w:r>
    </w:p>
    <w:p w14:paraId="524388D6">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、甲方应尊重乙方服务人员的人格，对有过错人员可提出批评或处罚，或向其主管领导提出反映，不得采取呵斥、辱骂等职业歧视行为。</w:t>
      </w:r>
    </w:p>
    <w:p w14:paraId="1B8C28F3">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5、甲方投资购置的资产，其所有权、处置权归属甲方。乙方购置的资产，其所有权、处置权归属乙方。</w:t>
      </w:r>
    </w:p>
    <w:p w14:paraId="33A72272">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zh-CN"/>
        </w:rPr>
        <w:t>6、甲方若发现乙方工作人员偷窃服务场所财产、勾结外人合伙盗窃,将采取相关法律程序进行处理,乙方应赔偿由此给甲方造成的相应损失,甲方可自行在乙方的服务费用中直接扣除。</w:t>
      </w:r>
    </w:p>
    <w:p w14:paraId="3FF4318D">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rPr>
        <w:t>乙方权利和义务</w:t>
      </w:r>
    </w:p>
    <w:p w14:paraId="54EBCC9D">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w:t>
      </w:r>
      <w:r>
        <w:rPr>
          <w:rFonts w:hint="eastAsia" w:asciiTheme="minorEastAsia" w:hAnsiTheme="minorEastAsia" w:eastAsiaTheme="minorEastAsia" w:cstheme="minorEastAsia"/>
          <w:sz w:val="28"/>
          <w:szCs w:val="28"/>
          <w:highlight w:val="none"/>
        </w:rPr>
        <w:t>根据有关法律、法规政策及本合同规定，制订相应的管理办法、规章制度、实施细则。</w:t>
      </w:r>
    </w:p>
    <w:p w14:paraId="51593630">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乙方必须遵守</w:t>
      </w:r>
      <w:r>
        <w:rPr>
          <w:rFonts w:hint="eastAsia" w:asciiTheme="minorEastAsia" w:hAnsiTheme="minorEastAsia" w:eastAsiaTheme="minorEastAsia" w:cstheme="minorEastAsia"/>
          <w:sz w:val="28"/>
          <w:szCs w:val="28"/>
          <w:highlight w:val="none"/>
          <w:lang w:eastAsia="zh-CN"/>
        </w:rPr>
        <w:t>项目</w:t>
      </w:r>
      <w:r>
        <w:rPr>
          <w:rFonts w:hint="eastAsia" w:asciiTheme="minorEastAsia" w:hAnsiTheme="minorEastAsia" w:eastAsiaTheme="minorEastAsia" w:cstheme="minorEastAsia"/>
          <w:sz w:val="28"/>
          <w:szCs w:val="28"/>
          <w:highlight w:val="none"/>
        </w:rPr>
        <w:t>有关管理规定</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接受</w:t>
      </w:r>
      <w:r>
        <w:rPr>
          <w:rFonts w:hint="eastAsia" w:asciiTheme="minorEastAsia" w:hAnsiTheme="minorEastAsia" w:eastAsiaTheme="minorEastAsia" w:cstheme="minorEastAsia"/>
          <w:sz w:val="28"/>
          <w:szCs w:val="28"/>
          <w:highlight w:val="none"/>
          <w:lang w:eastAsia="zh-CN"/>
        </w:rPr>
        <w:t>相关</w:t>
      </w:r>
      <w:r>
        <w:rPr>
          <w:rFonts w:hint="eastAsia" w:asciiTheme="minorEastAsia" w:hAnsiTheme="minorEastAsia" w:eastAsiaTheme="minorEastAsia" w:cstheme="minorEastAsia"/>
          <w:sz w:val="28"/>
          <w:szCs w:val="28"/>
          <w:highlight w:val="none"/>
        </w:rPr>
        <w:t>管理主管部门及有关政府部门的监督、指导，并接受甲方的监督，做好客户满意度回访等工作，协助甲方调查、</w:t>
      </w:r>
      <w:r>
        <w:rPr>
          <w:rFonts w:hint="eastAsia" w:asciiTheme="minorEastAsia" w:hAnsiTheme="minorEastAsia" w:eastAsiaTheme="minorEastAsia" w:cstheme="minorEastAsia"/>
          <w:sz w:val="28"/>
          <w:szCs w:val="28"/>
          <w:highlight w:val="none"/>
          <w:lang w:eastAsia="zh-CN"/>
        </w:rPr>
        <w:t>取证</w:t>
      </w:r>
      <w:r>
        <w:rPr>
          <w:rFonts w:hint="eastAsia" w:asciiTheme="minorEastAsia" w:hAnsiTheme="minorEastAsia" w:eastAsiaTheme="minorEastAsia" w:cstheme="minorEastAsia"/>
          <w:sz w:val="28"/>
          <w:szCs w:val="28"/>
          <w:highlight w:val="none"/>
        </w:rPr>
        <w:t>有关投诉，并根据甲方要求及时处理。</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接受甲方按照本合同第</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六</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条</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服务</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考核评定</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w:t>
      </w:r>
    </w:p>
    <w:p w14:paraId="4F68230C">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lang w:val="zh-CN"/>
        </w:rPr>
        <w:t>乙方必须取得合法经营执照及</w:t>
      </w:r>
      <w:r>
        <w:rPr>
          <w:rFonts w:hint="eastAsia" w:asciiTheme="minorEastAsia" w:hAnsiTheme="minorEastAsia" w:eastAsiaTheme="minorEastAsia" w:cstheme="minorEastAsia"/>
          <w:sz w:val="28"/>
          <w:szCs w:val="28"/>
          <w:highlight w:val="none"/>
        </w:rPr>
        <w:t>相应的资质</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工作人员必须持有有效的资格证书及岗位证书上岗</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zh-CN" w:eastAsia="zh-CN"/>
        </w:rPr>
        <w:t>以便配合各级领导检查，如因违反相关部门要求所发生的罚款、其他费用、责任均由乙方承担。</w:t>
      </w:r>
    </w:p>
    <w:p w14:paraId="2650F166">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乙方应保证派往甲方提供服务的人员身体健康，</w:t>
      </w:r>
      <w:r>
        <w:rPr>
          <w:rFonts w:hint="eastAsia" w:asciiTheme="minorEastAsia" w:hAnsiTheme="minorEastAsia" w:eastAsiaTheme="minorEastAsia" w:cstheme="minorEastAsia"/>
          <w:sz w:val="28"/>
          <w:szCs w:val="28"/>
          <w:highlight w:val="none"/>
          <w:lang w:val="en-US" w:eastAsia="zh-CN"/>
        </w:rPr>
        <w:t>并</w:t>
      </w:r>
      <w:r>
        <w:rPr>
          <w:rFonts w:hint="eastAsia" w:asciiTheme="minorEastAsia" w:hAnsiTheme="minorEastAsia" w:eastAsiaTheme="minorEastAsia" w:cstheme="minorEastAsia"/>
          <w:sz w:val="28"/>
          <w:szCs w:val="28"/>
          <w:highlight w:val="none"/>
        </w:rPr>
        <w:t>取得卫生防疫部门健康证。</w:t>
      </w:r>
      <w:r>
        <w:rPr>
          <w:rFonts w:hint="eastAsia" w:asciiTheme="minorEastAsia" w:hAnsiTheme="minorEastAsia" w:eastAsiaTheme="minorEastAsia" w:cstheme="minorEastAsia"/>
          <w:sz w:val="28"/>
          <w:szCs w:val="28"/>
          <w:highlight w:val="none"/>
          <w:lang w:eastAsia="zh-CN"/>
        </w:rPr>
        <w:t>服务人员</w:t>
      </w:r>
      <w:r>
        <w:rPr>
          <w:rFonts w:hint="eastAsia" w:asciiTheme="minorEastAsia" w:hAnsiTheme="minorEastAsia" w:eastAsiaTheme="minorEastAsia" w:cstheme="minorEastAsia"/>
          <w:sz w:val="28"/>
          <w:szCs w:val="28"/>
          <w:highlight w:val="none"/>
        </w:rPr>
        <w:t>工作时要着统一样式</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标识的工作装</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业务素质高，职业道德好，无不适应服务工作的传染性疾病。</w:t>
      </w:r>
    </w:p>
    <w:p w14:paraId="3555CDC8">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乙方应加强对服务人员的教育和管理，定期或不定期进行检查督导</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保证</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每月不少于1次派出</w:t>
      </w:r>
      <w:r>
        <w:rPr>
          <w:rFonts w:hint="eastAsia" w:asciiTheme="minorEastAsia" w:hAnsiTheme="minorEastAsia" w:eastAsiaTheme="minorEastAsia" w:cstheme="minorEastAsia"/>
          <w:color w:val="000000"/>
          <w:kern w:val="0"/>
          <w:sz w:val="28"/>
          <w:szCs w:val="28"/>
          <w:highlight w:val="none"/>
          <w:lang w:eastAsia="zh-CN"/>
        </w:rPr>
        <w:t>公司高级管理人员同甲方项目负责人沟通工作，</w:t>
      </w:r>
      <w:r>
        <w:rPr>
          <w:rFonts w:hint="eastAsia" w:asciiTheme="minorEastAsia" w:hAnsiTheme="minorEastAsia" w:eastAsiaTheme="minorEastAsia" w:cstheme="minorEastAsia"/>
          <w:sz w:val="28"/>
          <w:szCs w:val="28"/>
          <w:highlight w:val="none"/>
          <w:lang w:val="en-US" w:eastAsia="zh-CN"/>
        </w:rPr>
        <w:t>征求甲方</w:t>
      </w:r>
      <w:r>
        <w:rPr>
          <w:rFonts w:hint="eastAsia" w:asciiTheme="minorEastAsia" w:hAnsiTheme="minorEastAsia" w:eastAsiaTheme="minorEastAsia" w:cstheme="minorEastAsia"/>
          <w:sz w:val="28"/>
          <w:szCs w:val="28"/>
          <w:highlight w:val="none"/>
        </w:rPr>
        <w:t>意见和建议，及时处理存在的问题，</w:t>
      </w:r>
      <w:r>
        <w:rPr>
          <w:rFonts w:hint="eastAsia" w:asciiTheme="minorEastAsia" w:hAnsiTheme="minorEastAsia" w:eastAsiaTheme="minorEastAsia" w:cstheme="minorEastAsia"/>
          <w:sz w:val="28"/>
          <w:szCs w:val="28"/>
          <w:highlight w:val="none"/>
          <w:lang w:val="zh-CN"/>
        </w:rPr>
        <w:t>接受甲方业务指导，</w:t>
      </w:r>
      <w:r>
        <w:rPr>
          <w:rFonts w:hint="eastAsia" w:asciiTheme="minorEastAsia" w:hAnsiTheme="minorEastAsia" w:eastAsiaTheme="minorEastAsia" w:cstheme="minorEastAsia"/>
          <w:sz w:val="28"/>
          <w:szCs w:val="28"/>
          <w:highlight w:val="none"/>
        </w:rPr>
        <w:t>确保服务符合</w:t>
      </w:r>
      <w:r>
        <w:rPr>
          <w:rFonts w:hint="eastAsia" w:asciiTheme="minorEastAsia" w:hAnsiTheme="minorEastAsia" w:eastAsiaTheme="minorEastAsia" w:cstheme="minorEastAsia"/>
          <w:sz w:val="28"/>
          <w:szCs w:val="28"/>
          <w:highlight w:val="none"/>
          <w:lang w:val="en-US" w:eastAsia="zh-CN"/>
        </w:rPr>
        <w:t>服务</w:t>
      </w:r>
      <w:r>
        <w:rPr>
          <w:rFonts w:hint="eastAsia" w:asciiTheme="minorEastAsia" w:hAnsiTheme="minorEastAsia" w:eastAsiaTheme="minorEastAsia" w:cstheme="minorEastAsia"/>
          <w:sz w:val="28"/>
          <w:szCs w:val="28"/>
          <w:highlight w:val="none"/>
        </w:rPr>
        <w:t>标准。</w:t>
      </w:r>
      <w:r>
        <w:rPr>
          <w:rFonts w:hint="eastAsia" w:asciiTheme="minorEastAsia" w:hAnsiTheme="minorEastAsia" w:eastAsiaTheme="minorEastAsia" w:cstheme="minorEastAsia"/>
          <w:color w:val="000000"/>
          <w:kern w:val="0"/>
          <w:sz w:val="28"/>
          <w:szCs w:val="28"/>
          <w:highlight w:val="none"/>
        </w:rPr>
        <w:t>乙方提供服务的人员必须保持相对稳定，主管（含主管）以上管理人员更换须经甲方同意。</w:t>
      </w:r>
    </w:p>
    <w:p w14:paraId="74A8C043">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t>乙方要做好员工岗前培训、在职培训及安全普及等工作，培训工作每月至少一次，并做好相关记录</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乙方相关人员除参加本部门的岗位培训外，须参加</w:t>
      </w:r>
      <w:r>
        <w:rPr>
          <w:rFonts w:hint="eastAsia" w:asciiTheme="minorEastAsia" w:hAnsiTheme="minorEastAsia" w:eastAsiaTheme="minorEastAsia" w:cstheme="minorEastAsia"/>
          <w:sz w:val="28"/>
          <w:szCs w:val="28"/>
          <w:highlight w:val="none"/>
          <w:lang w:eastAsia="zh-CN"/>
        </w:rPr>
        <w:t>项目</w:t>
      </w:r>
      <w:r>
        <w:rPr>
          <w:rFonts w:hint="eastAsia" w:asciiTheme="minorEastAsia" w:hAnsiTheme="minorEastAsia" w:eastAsiaTheme="minorEastAsia" w:cstheme="minorEastAsia"/>
          <w:sz w:val="28"/>
          <w:szCs w:val="28"/>
          <w:highlight w:val="none"/>
        </w:rPr>
        <w:t>组织的</w:t>
      </w:r>
      <w:r>
        <w:rPr>
          <w:rFonts w:hint="eastAsia" w:asciiTheme="minorEastAsia" w:hAnsiTheme="minorEastAsia" w:eastAsiaTheme="minorEastAsia" w:cstheme="minorEastAsia"/>
          <w:sz w:val="28"/>
          <w:szCs w:val="28"/>
          <w:highlight w:val="none"/>
          <w:lang w:eastAsia="zh-CN"/>
        </w:rPr>
        <w:t>各项</w:t>
      </w:r>
      <w:r>
        <w:rPr>
          <w:rFonts w:hint="eastAsia" w:asciiTheme="minorEastAsia" w:hAnsiTheme="minorEastAsia" w:eastAsiaTheme="minorEastAsia" w:cstheme="minorEastAsia"/>
          <w:sz w:val="28"/>
          <w:szCs w:val="28"/>
          <w:highlight w:val="none"/>
        </w:rPr>
        <w:t>培训。乙方员工应自觉保持自身良好形象，提高服务意识。</w:t>
      </w:r>
    </w:p>
    <w:p w14:paraId="2071C5FB">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rPr>
        <w:t>完成</w:t>
      </w:r>
      <w:r>
        <w:rPr>
          <w:rFonts w:hint="eastAsia" w:asciiTheme="minorEastAsia" w:hAnsiTheme="minorEastAsia" w:eastAsiaTheme="minorEastAsia" w:cstheme="minorEastAsia"/>
          <w:sz w:val="28"/>
          <w:szCs w:val="28"/>
          <w:highlight w:val="none"/>
          <w:lang w:eastAsia="zh-CN"/>
        </w:rPr>
        <w:t>甲方</w:t>
      </w:r>
      <w:r>
        <w:rPr>
          <w:rFonts w:hint="eastAsia" w:asciiTheme="minorEastAsia" w:hAnsiTheme="minorEastAsia" w:eastAsiaTheme="minorEastAsia" w:cstheme="minorEastAsia"/>
          <w:sz w:val="28"/>
          <w:szCs w:val="28"/>
          <w:highlight w:val="none"/>
        </w:rPr>
        <w:t>交办的临时性任务，不得无故拖延。配合</w:t>
      </w:r>
      <w:r>
        <w:rPr>
          <w:rFonts w:hint="eastAsia" w:asciiTheme="minorEastAsia" w:hAnsiTheme="minorEastAsia" w:eastAsiaTheme="minorEastAsia" w:cstheme="minorEastAsia"/>
          <w:sz w:val="28"/>
          <w:szCs w:val="28"/>
          <w:highlight w:val="none"/>
          <w:lang w:eastAsia="zh-CN"/>
        </w:rPr>
        <w:t>甲方</w:t>
      </w:r>
      <w:r>
        <w:rPr>
          <w:rFonts w:hint="eastAsia" w:asciiTheme="minorEastAsia" w:hAnsiTheme="minorEastAsia" w:eastAsiaTheme="minorEastAsia" w:cstheme="minorEastAsia"/>
          <w:sz w:val="28"/>
          <w:szCs w:val="28"/>
          <w:highlight w:val="none"/>
        </w:rPr>
        <w:t>接受相关部门的监督和检查， 在服务期内发生各类检查（如上级部门来院检查、迎接评审等），乙方须无条件配合</w:t>
      </w:r>
      <w:r>
        <w:rPr>
          <w:rFonts w:hint="eastAsia" w:asciiTheme="minorEastAsia" w:hAnsiTheme="minorEastAsia" w:eastAsiaTheme="minorEastAsia" w:cstheme="minorEastAsia"/>
          <w:sz w:val="28"/>
          <w:szCs w:val="28"/>
          <w:highlight w:val="none"/>
          <w:lang w:eastAsia="zh-CN"/>
        </w:rPr>
        <w:t>甲方</w:t>
      </w:r>
      <w:r>
        <w:rPr>
          <w:rFonts w:hint="eastAsia" w:asciiTheme="minorEastAsia" w:hAnsiTheme="minorEastAsia" w:eastAsiaTheme="minorEastAsia" w:cstheme="minorEastAsia"/>
          <w:sz w:val="28"/>
          <w:szCs w:val="28"/>
          <w:highlight w:val="none"/>
        </w:rPr>
        <w:t>做好迎检工作，甲方不再向乙方另外支付加班费。</w:t>
      </w:r>
    </w:p>
    <w:p w14:paraId="70FB482D">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及时通知甲方。</w:t>
      </w:r>
    </w:p>
    <w:p w14:paraId="77F01495">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9、</w:t>
      </w:r>
      <w:r>
        <w:rPr>
          <w:rFonts w:hint="eastAsia" w:asciiTheme="minorEastAsia" w:hAnsiTheme="minorEastAsia" w:eastAsiaTheme="minorEastAsia" w:cstheme="minorEastAsia"/>
          <w:sz w:val="28"/>
          <w:szCs w:val="28"/>
          <w:highlight w:val="none"/>
        </w:rPr>
        <w:t>乙方须建立本项目管理档案并负责及时记录有关变更情况，在合同期满时，乙方必须向甲方移交原委托管理的全部管理档案资料、财产等</w:t>
      </w:r>
      <w:r>
        <w:rPr>
          <w:rFonts w:hint="eastAsia" w:asciiTheme="minorEastAsia" w:hAnsiTheme="minorEastAsia" w:eastAsiaTheme="minorEastAsia" w:cstheme="minorEastAsia"/>
          <w:sz w:val="28"/>
          <w:szCs w:val="28"/>
          <w:highlight w:val="none"/>
          <w:lang w:eastAsia="zh-CN"/>
        </w:rPr>
        <w:t>。</w:t>
      </w:r>
    </w:p>
    <w:p w14:paraId="3312A5E3">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10、</w:t>
      </w:r>
      <w:r>
        <w:rPr>
          <w:rFonts w:hint="eastAsia" w:asciiTheme="minorEastAsia" w:hAnsiTheme="minorEastAsia" w:eastAsiaTheme="minorEastAsia" w:cstheme="minorEastAsia"/>
          <w:sz w:val="28"/>
          <w:szCs w:val="28"/>
          <w:highlight w:val="none"/>
        </w:rPr>
        <w:t>乙方要教育服务人员具有高度责任心，文明操作</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爱护甲方设施和物品，如因人为损坏，乙方应予以赔偿。</w:t>
      </w:r>
    </w:p>
    <w:p w14:paraId="2F297BBD">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11、在合同服务期限内</w:t>
      </w:r>
      <w:r>
        <w:rPr>
          <w:rFonts w:hint="eastAsia" w:asciiTheme="minorEastAsia" w:hAnsiTheme="minorEastAsia" w:eastAsiaTheme="minorEastAsia" w:cstheme="minorEastAsia"/>
          <w:sz w:val="28"/>
          <w:szCs w:val="28"/>
          <w:highlight w:val="none"/>
        </w:rPr>
        <w:t>,乙方派遣的人员因执行本合同约定的事务与任何第三方发生纠纷,或造成他人伤亡的,均由乙方负责解决,所产生的赔偿费用,由乙方承担。</w:t>
      </w:r>
    </w:p>
    <w:p w14:paraId="102D9D5C">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12、在合同服务期限内乙方全部服务人员发生的工伤、意外伤害、伤亡或财产损失等一切安全事故以及所有纠纷的全部责任与相关费用，都由乙方承担和处理，与甲方无关。在安全事故、劳动纠纷发生的当月甲方有权停止支付乙方服务费，直至事故、纠纷处理或损失赔偿完毕后，恢复正常支付程序。</w:t>
      </w:r>
    </w:p>
    <w:p w14:paraId="7B45BCA4">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13</w:t>
      </w:r>
      <w:r>
        <w:rPr>
          <w:rFonts w:hint="eastAsia" w:asciiTheme="minorEastAsia" w:hAnsiTheme="minorEastAsia" w:eastAsiaTheme="minorEastAsia" w:cstheme="minorEastAsia"/>
          <w:sz w:val="28"/>
          <w:szCs w:val="28"/>
          <w:highlight w:val="none"/>
        </w:rPr>
        <w:t>、乙方与其服务人员</w:t>
      </w:r>
      <w:r>
        <w:rPr>
          <w:rFonts w:hint="eastAsia" w:asciiTheme="minorEastAsia" w:hAnsiTheme="minorEastAsia" w:eastAsiaTheme="minorEastAsia" w:cstheme="minorEastAsia"/>
          <w:sz w:val="28"/>
          <w:szCs w:val="28"/>
          <w:highlight w:val="none"/>
          <w:lang w:eastAsia="zh-CN"/>
        </w:rPr>
        <w:t>应签订劳动合同，</w:t>
      </w:r>
      <w:r>
        <w:rPr>
          <w:rFonts w:hint="eastAsia" w:asciiTheme="minorEastAsia" w:hAnsiTheme="minorEastAsia" w:eastAsiaTheme="minorEastAsia" w:cstheme="minorEastAsia"/>
          <w:sz w:val="28"/>
          <w:szCs w:val="28"/>
          <w:highlight w:val="none"/>
          <w:lang w:val="en-US" w:eastAsia="zh-CN"/>
        </w:rPr>
        <w:t>应</w:t>
      </w:r>
      <w:r>
        <w:rPr>
          <w:rFonts w:hint="eastAsia" w:asciiTheme="minorEastAsia" w:hAnsiTheme="minorEastAsia" w:eastAsiaTheme="minorEastAsia" w:cstheme="minorEastAsia"/>
          <w:sz w:val="28"/>
          <w:szCs w:val="28"/>
          <w:highlight w:val="none"/>
          <w:lang w:eastAsia="zh-CN"/>
        </w:rPr>
        <w:t>按时足额支付工作人员的工资、保险和基本的福利费用和其他待遇。乙方与其服务人员产生的各种争议、纠纷、</w:t>
      </w:r>
      <w:r>
        <w:rPr>
          <w:rFonts w:hint="eastAsia" w:asciiTheme="minorEastAsia" w:hAnsiTheme="minorEastAsia" w:eastAsiaTheme="minorEastAsia" w:cstheme="minorEastAsia"/>
          <w:sz w:val="28"/>
          <w:szCs w:val="28"/>
          <w:highlight w:val="none"/>
        </w:rPr>
        <w:t>索赔</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诉求</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包括但不限于劳动纠纷</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或受到行政部门的管制或处罚，均由乙方负责解决并全额赔偿。</w:t>
      </w:r>
    </w:p>
    <w:p w14:paraId="6026EF9D">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14、</w:t>
      </w:r>
      <w:r>
        <w:rPr>
          <w:rFonts w:hint="eastAsia" w:asciiTheme="minorEastAsia" w:hAnsiTheme="minorEastAsia" w:eastAsiaTheme="minorEastAsia" w:cstheme="minorEastAsia"/>
          <w:sz w:val="28"/>
          <w:szCs w:val="28"/>
          <w:highlight w:val="none"/>
        </w:rPr>
        <w:t>工作期间由于乙方工作人员处理不当引起纠纷,乙方公司出面协调处理,甲方不负责处理纠纷,如果当事人对乙方公司的处理意见不满意,导致媒体、电视台等新闻</w:t>
      </w:r>
      <w:r>
        <w:rPr>
          <w:rFonts w:hint="eastAsia" w:asciiTheme="minorEastAsia" w:hAnsiTheme="minorEastAsia" w:eastAsiaTheme="minorEastAsia" w:cstheme="minorEastAsia"/>
          <w:sz w:val="28"/>
          <w:szCs w:val="28"/>
          <w:highlight w:val="none"/>
          <w:lang w:eastAsia="zh-CN"/>
        </w:rPr>
        <w:t>平台</w:t>
      </w:r>
      <w:r>
        <w:rPr>
          <w:rFonts w:hint="eastAsia" w:asciiTheme="minorEastAsia" w:hAnsiTheme="minorEastAsia" w:eastAsiaTheme="minorEastAsia" w:cstheme="minorEastAsia"/>
          <w:sz w:val="28"/>
          <w:szCs w:val="28"/>
          <w:highlight w:val="none"/>
        </w:rPr>
        <w:t>的曝光,甲方有权追究由此对甲方带来的损失及影响。</w:t>
      </w:r>
    </w:p>
    <w:p w14:paraId="6D38E140">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15、</w:t>
      </w:r>
      <w:r>
        <w:rPr>
          <w:rFonts w:hint="eastAsia" w:asciiTheme="minorEastAsia" w:hAnsiTheme="minorEastAsia" w:eastAsiaTheme="minorEastAsia" w:cstheme="minorEastAsia"/>
          <w:sz w:val="28"/>
          <w:szCs w:val="28"/>
          <w:highlight w:val="none"/>
          <w:lang w:eastAsia="zh-CN"/>
        </w:rPr>
        <w:t>在乙方执行业务过程中,如发现任何有可能危害项目服务地的事件,即使不属乙方业务范围之内,乙方也有责任采取规定限度内的合法行为以避免或及时终止该危害事件的发生或继续,同时立即</w:t>
      </w:r>
      <w:r>
        <w:rPr>
          <w:rFonts w:hint="eastAsia" w:asciiTheme="minorEastAsia" w:hAnsiTheme="minorEastAsia" w:eastAsiaTheme="minorEastAsia" w:cstheme="minorEastAsia"/>
          <w:sz w:val="28"/>
          <w:szCs w:val="28"/>
          <w:highlight w:val="none"/>
          <w:lang w:eastAsia="zh-CN"/>
        </w:rPr>
        <w:fldChar w:fldCharType="begin"/>
      </w:r>
      <w:r>
        <w:rPr>
          <w:rFonts w:hint="eastAsia" w:asciiTheme="minorEastAsia" w:hAnsiTheme="minorEastAsia" w:eastAsiaTheme="minorEastAsia" w:cstheme="minorEastAsia"/>
          <w:sz w:val="28"/>
          <w:szCs w:val="28"/>
          <w:highlight w:val="none"/>
          <w:lang w:eastAsia="zh-CN"/>
        </w:rPr>
        <w:instrText xml:space="preserve"> HYPERLINK "http://www.fdcew.com/gw/List_202.html" \t "_blank" </w:instrText>
      </w:r>
      <w:r>
        <w:rPr>
          <w:rFonts w:hint="eastAsia" w:asciiTheme="minorEastAsia" w:hAnsiTheme="minorEastAsia" w:eastAsiaTheme="minorEastAsia" w:cstheme="minorEastAsia"/>
          <w:sz w:val="28"/>
          <w:szCs w:val="28"/>
          <w:highlight w:val="none"/>
          <w:lang w:eastAsia="zh-CN"/>
        </w:rPr>
        <w:fldChar w:fldCharType="separate"/>
      </w:r>
      <w:r>
        <w:rPr>
          <w:rFonts w:hint="eastAsia" w:asciiTheme="minorEastAsia" w:hAnsiTheme="minorEastAsia" w:eastAsiaTheme="minorEastAsia" w:cstheme="minorEastAsia"/>
          <w:sz w:val="28"/>
          <w:szCs w:val="28"/>
          <w:highlight w:val="none"/>
          <w:lang w:eastAsia="zh-CN"/>
        </w:rPr>
        <w:t>报告</w:t>
      </w:r>
      <w:r>
        <w:rPr>
          <w:rFonts w:hint="eastAsia" w:asciiTheme="minorEastAsia" w:hAnsiTheme="minorEastAsia" w:eastAsiaTheme="minorEastAsia" w:cstheme="minorEastAsia"/>
          <w:sz w:val="28"/>
          <w:szCs w:val="28"/>
          <w:highlight w:val="none"/>
          <w:lang w:eastAsia="zh-CN"/>
        </w:rPr>
        <w:fldChar w:fldCharType="end"/>
      </w:r>
      <w:r>
        <w:rPr>
          <w:rFonts w:hint="eastAsia" w:asciiTheme="minorEastAsia" w:hAnsiTheme="minorEastAsia" w:eastAsiaTheme="minorEastAsia" w:cstheme="minorEastAsia"/>
          <w:sz w:val="28"/>
          <w:szCs w:val="28"/>
          <w:highlight w:val="none"/>
          <w:lang w:eastAsia="zh-CN"/>
        </w:rPr>
        <w:t>甲方有关人员。</w:t>
      </w:r>
    </w:p>
    <w:p w14:paraId="5AE1FC78">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16、</w:t>
      </w:r>
      <w:r>
        <w:rPr>
          <w:rFonts w:hint="eastAsia" w:asciiTheme="minorEastAsia" w:hAnsiTheme="minorEastAsia" w:eastAsiaTheme="minorEastAsia" w:cstheme="minorEastAsia"/>
          <w:sz w:val="28"/>
          <w:szCs w:val="28"/>
          <w:highlight w:val="none"/>
        </w:rPr>
        <w:t>乙方应教育</w:t>
      </w:r>
      <w:r>
        <w:rPr>
          <w:rFonts w:hint="eastAsia" w:asciiTheme="minorEastAsia" w:hAnsiTheme="minorEastAsia" w:eastAsiaTheme="minorEastAsia" w:cstheme="minorEastAsia"/>
          <w:sz w:val="28"/>
          <w:szCs w:val="28"/>
          <w:highlight w:val="none"/>
          <w:lang w:eastAsia="zh-CN"/>
        </w:rPr>
        <w:t>所有服务</w:t>
      </w:r>
      <w:r>
        <w:rPr>
          <w:rFonts w:hint="eastAsia" w:asciiTheme="minorEastAsia" w:hAnsiTheme="minorEastAsia" w:eastAsiaTheme="minorEastAsia" w:cstheme="minorEastAsia"/>
          <w:sz w:val="28"/>
          <w:szCs w:val="28"/>
          <w:highlight w:val="none"/>
        </w:rPr>
        <w:t>人员遵守</w:t>
      </w:r>
      <w:r>
        <w:rPr>
          <w:rFonts w:hint="eastAsia" w:asciiTheme="minorEastAsia" w:hAnsiTheme="minorEastAsia" w:eastAsiaTheme="minorEastAsia" w:cstheme="minorEastAsia"/>
          <w:sz w:val="28"/>
          <w:szCs w:val="28"/>
          <w:highlight w:val="none"/>
          <w:lang w:eastAsia="zh-CN"/>
        </w:rPr>
        <w:t>项目</w:t>
      </w:r>
      <w:r>
        <w:rPr>
          <w:rFonts w:hint="eastAsia" w:asciiTheme="minorEastAsia" w:hAnsiTheme="minorEastAsia" w:eastAsiaTheme="minorEastAsia" w:cstheme="minorEastAsia"/>
          <w:sz w:val="28"/>
          <w:szCs w:val="28"/>
          <w:highlight w:val="none"/>
        </w:rPr>
        <w:t>有关制度和管理要求，</w:t>
      </w:r>
      <w:r>
        <w:rPr>
          <w:rFonts w:hint="eastAsia" w:asciiTheme="minorEastAsia" w:hAnsiTheme="minorEastAsia" w:eastAsiaTheme="minorEastAsia" w:cstheme="minorEastAsia"/>
          <w:sz w:val="28"/>
          <w:szCs w:val="28"/>
          <w:highlight w:val="none"/>
          <w:lang w:eastAsia="zh-CN"/>
        </w:rPr>
        <w:t>操作当中不影响项目的正</w:t>
      </w:r>
      <w:r>
        <w:rPr>
          <w:rFonts w:hint="eastAsia" w:asciiTheme="minorEastAsia" w:hAnsiTheme="minorEastAsia" w:eastAsiaTheme="minorEastAsia" w:cstheme="minorEastAsia"/>
          <w:sz w:val="28"/>
          <w:szCs w:val="28"/>
          <w:highlight w:val="none"/>
        </w:rPr>
        <w:t>常工作</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自觉保守甲方</w:t>
      </w:r>
      <w:r>
        <w:rPr>
          <w:rFonts w:hint="eastAsia" w:asciiTheme="minorEastAsia" w:hAnsiTheme="minorEastAsia" w:eastAsiaTheme="minorEastAsia" w:cstheme="minorEastAsia"/>
          <w:sz w:val="28"/>
          <w:szCs w:val="28"/>
          <w:highlight w:val="none"/>
          <w:lang w:eastAsia="zh-CN"/>
        </w:rPr>
        <w:t>及项目</w:t>
      </w:r>
      <w:r>
        <w:rPr>
          <w:rFonts w:hint="eastAsia" w:asciiTheme="minorEastAsia" w:hAnsiTheme="minorEastAsia" w:eastAsiaTheme="minorEastAsia" w:cstheme="minorEastAsia"/>
          <w:sz w:val="28"/>
          <w:szCs w:val="28"/>
          <w:highlight w:val="none"/>
        </w:rPr>
        <w:t>秘密，</w:t>
      </w:r>
      <w:r>
        <w:rPr>
          <w:rFonts w:hint="eastAsia" w:asciiTheme="minorEastAsia" w:hAnsiTheme="minorEastAsia" w:eastAsiaTheme="minorEastAsia" w:cstheme="minorEastAsia"/>
          <w:sz w:val="28"/>
          <w:szCs w:val="28"/>
          <w:highlight w:val="none"/>
          <w:lang w:eastAsia="zh-CN"/>
        </w:rPr>
        <w:t>不向外传播项目内情况，本条款在本合同有效期内及终止后一直有效</w:t>
      </w:r>
      <w:r>
        <w:rPr>
          <w:rFonts w:hint="eastAsia" w:asciiTheme="minorEastAsia" w:hAnsiTheme="minorEastAsia" w:eastAsiaTheme="minorEastAsia" w:cstheme="minorEastAsia"/>
          <w:sz w:val="28"/>
          <w:szCs w:val="28"/>
          <w:highlight w:val="none"/>
        </w:rPr>
        <w:t>。</w:t>
      </w:r>
    </w:p>
    <w:p w14:paraId="6B1F2EAE">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17、</w:t>
      </w:r>
      <w:r>
        <w:rPr>
          <w:rFonts w:hint="eastAsia" w:asciiTheme="minorEastAsia" w:hAnsiTheme="minorEastAsia" w:eastAsiaTheme="minorEastAsia" w:cstheme="minorEastAsia"/>
          <w:sz w:val="28"/>
          <w:szCs w:val="28"/>
          <w:highlight w:val="none"/>
        </w:rPr>
        <w:t>乙方在日常经营活动中出现的与甲方无关的、违反国家相关政策和规定的一切行为，均与甲方无关，甲方不承担任何相关的责任和义务。</w:t>
      </w:r>
    </w:p>
    <w:p w14:paraId="3C091A89">
      <w:pPr>
        <w:keepNext w:val="0"/>
        <w:keepLines w:val="0"/>
        <w:pageBreakBefore w:val="0"/>
        <w:widowControl w:val="0"/>
        <w:kinsoku/>
        <w:wordWrap/>
        <w:overflowPunct/>
        <w:topLinePunct w:val="0"/>
        <w:autoSpaceDE/>
        <w:autoSpaceDN/>
        <w:bidi w:val="0"/>
        <w:adjustRightInd/>
        <w:snapToGrid/>
        <w:spacing w:line="620" w:lineRule="exact"/>
        <w:ind w:firstLine="560" w:firstLineChars="200"/>
        <w:jc w:val="both"/>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乙方在</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的服务流程、作息时间调整、人员岗位变动、增减人员等与甲方服务合同相关的业务，应及时</w:t>
      </w:r>
      <w:r>
        <w:rPr>
          <w:rFonts w:hint="eastAsia" w:asciiTheme="minorEastAsia" w:hAnsiTheme="minorEastAsia" w:eastAsiaTheme="minorEastAsia" w:cstheme="minorEastAsia"/>
          <w:color w:val="000000" w:themeColor="text1"/>
          <w:kern w:val="0"/>
          <w:sz w:val="28"/>
          <w:szCs w:val="28"/>
          <w:highlight w:val="none"/>
          <w:lang w:val="en-US" w:eastAsia="zh-CN"/>
          <w14:textFill>
            <w14:solidFill>
              <w14:schemeClr w14:val="tx1"/>
            </w14:solidFill>
          </w14:textFill>
        </w:rPr>
        <w:t>告知</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甲方，经甲方同意后再作调整</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8"/>
          <w:szCs w:val="28"/>
          <w:highlight w:val="none"/>
          <w14:textFill>
            <w14:solidFill>
              <w14:schemeClr w14:val="tx1"/>
            </w14:solidFill>
          </w14:textFill>
        </w:rPr>
        <w:t>否则，根据情节轻重，接受甲方处罚</w:t>
      </w:r>
      <w:r>
        <w:rPr>
          <w:rFonts w:hint="eastAsia" w:asciiTheme="minorEastAsia" w:hAnsiTheme="minorEastAsia" w:eastAsiaTheme="minorEastAsia" w:cstheme="minorEastAsia"/>
          <w:color w:val="000000" w:themeColor="text1"/>
          <w:kern w:val="0"/>
          <w:sz w:val="28"/>
          <w:szCs w:val="28"/>
          <w:highlight w:val="none"/>
          <w:lang w:eastAsia="zh-CN"/>
          <w14:textFill>
            <w14:solidFill>
              <w14:schemeClr w14:val="tx1"/>
            </w14:solidFill>
          </w14:textFill>
        </w:rPr>
        <w:t>。</w:t>
      </w:r>
    </w:p>
    <w:p w14:paraId="4362EC8A">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highlight w:val="none"/>
          <w:lang w:val="zh-CN"/>
        </w:rPr>
      </w:pPr>
      <w:r>
        <w:rPr>
          <w:rFonts w:hint="eastAsia" w:asciiTheme="minorEastAsia" w:hAnsiTheme="minorEastAsia" w:eastAsiaTheme="minorEastAsia" w:cstheme="minorEastAsia"/>
          <w:sz w:val="28"/>
          <w:szCs w:val="28"/>
          <w:highlight w:val="none"/>
          <w:lang w:val="en-US" w:eastAsia="zh-CN"/>
        </w:rPr>
        <w:t>19、本合同终止后，新服务企业接管本项目之前，乙方有义务继续为甲方提供该服务项目，甲方应继续给付相应的服务费用，延期一般不超过90天。</w:t>
      </w:r>
    </w:p>
    <w:p w14:paraId="788BA391">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第六条 服务考核办法</w:t>
      </w:r>
    </w:p>
    <w:p w14:paraId="1CD97A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eastAsia" w:asciiTheme="minorEastAsia" w:hAnsiTheme="minorEastAsia" w:eastAsiaTheme="minorEastAsia" w:cstheme="minorEastAsia"/>
          <w:b/>
          <w:bCs/>
          <w:color w:val="000000"/>
          <w:kern w:val="0"/>
          <w:sz w:val="28"/>
          <w:szCs w:val="28"/>
          <w:lang w:eastAsia="zh-CN"/>
        </w:rPr>
      </w:pPr>
      <w:r>
        <w:rPr>
          <w:rFonts w:hint="eastAsia" w:asciiTheme="minorEastAsia" w:hAnsiTheme="minorEastAsia" w:eastAsiaTheme="minorEastAsia" w:cstheme="minorEastAsia"/>
          <w:color w:val="000000"/>
          <w:kern w:val="0"/>
          <w:sz w:val="28"/>
          <w:szCs w:val="28"/>
          <w:lang w:eastAsia="zh-CN"/>
        </w:rPr>
        <w:t>一、乙方须按约定，实现目标管理，并接受甲方考核，甲方根据考核情况支付乙方服务费用。</w:t>
      </w:r>
      <w:r>
        <w:rPr>
          <w:rFonts w:hint="eastAsia" w:asciiTheme="minorEastAsia" w:hAnsiTheme="minorEastAsia" w:eastAsiaTheme="minorEastAsia" w:cstheme="minorEastAsia"/>
          <w:b/>
          <w:bCs/>
          <w:color w:val="000000"/>
          <w:kern w:val="0"/>
          <w:sz w:val="28"/>
          <w:szCs w:val="28"/>
          <w:lang w:eastAsia="zh-CN"/>
        </w:rPr>
        <w:t>甲方根据附件中《绩效评价及标准》进行考核，每月为一个考核周期，按</w:t>
      </w:r>
      <w:r>
        <w:rPr>
          <w:rFonts w:hint="eastAsia" w:asciiTheme="minorEastAsia" w:hAnsiTheme="minorEastAsia" w:eastAsiaTheme="minorEastAsia" w:cstheme="minorEastAsia"/>
          <w:b/>
          <w:bCs/>
          <w:color w:val="000000"/>
          <w:kern w:val="0"/>
          <w:sz w:val="28"/>
          <w:szCs w:val="28"/>
          <w:lang w:val="en-US" w:eastAsia="zh-CN"/>
        </w:rPr>
        <w:t>月</w:t>
      </w:r>
      <w:r>
        <w:rPr>
          <w:rFonts w:hint="eastAsia" w:asciiTheme="minorEastAsia" w:hAnsiTheme="minorEastAsia" w:eastAsiaTheme="minorEastAsia" w:cstheme="minorEastAsia"/>
          <w:b/>
          <w:bCs/>
          <w:color w:val="000000"/>
          <w:kern w:val="0"/>
          <w:sz w:val="28"/>
          <w:szCs w:val="28"/>
          <w:lang w:eastAsia="zh-CN"/>
        </w:rPr>
        <w:t>结算。且实际支付服务费的数额与服务方年度考核得分相结合。</w:t>
      </w:r>
    </w:p>
    <w:tbl>
      <w:tblPr>
        <w:tblStyle w:val="15"/>
        <w:tblW w:w="55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22"/>
        <w:gridCol w:w="6717"/>
      </w:tblGrid>
      <w:tr w14:paraId="19337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54" w:type="pct"/>
            <w:shd w:val="clear" w:color="auto" w:fill="93CDDD"/>
            <w:vAlign w:val="center"/>
          </w:tcPr>
          <w:p w14:paraId="49B8C34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每</w:t>
            </w:r>
            <w:r>
              <w:rPr>
                <w:rFonts w:hint="eastAsia" w:asciiTheme="minorEastAsia" w:hAnsiTheme="minorEastAsia" w:eastAsiaTheme="minorEastAsia" w:cstheme="minorEastAsia"/>
                <w:color w:val="000000"/>
                <w:kern w:val="0"/>
                <w:sz w:val="24"/>
                <w:szCs w:val="24"/>
                <w:lang w:val="en-US" w:eastAsia="zh-CN"/>
              </w:rPr>
              <w:t>月</w:t>
            </w:r>
            <w:r>
              <w:rPr>
                <w:rFonts w:hint="eastAsia" w:asciiTheme="minorEastAsia" w:hAnsiTheme="minorEastAsia" w:eastAsiaTheme="minorEastAsia" w:cstheme="minorEastAsia"/>
                <w:color w:val="000000"/>
                <w:kern w:val="0"/>
                <w:sz w:val="24"/>
                <w:szCs w:val="24"/>
                <w:lang w:eastAsia="zh-CN"/>
              </w:rPr>
              <w:t>综合考核评分</w:t>
            </w:r>
          </w:p>
        </w:tc>
        <w:tc>
          <w:tcPr>
            <w:tcW w:w="3345" w:type="pct"/>
            <w:shd w:val="clear" w:color="auto" w:fill="93CDDD"/>
            <w:vAlign w:val="center"/>
          </w:tcPr>
          <w:p w14:paraId="55BED2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支付服务费比例</w:t>
            </w:r>
          </w:p>
        </w:tc>
      </w:tr>
      <w:tr w14:paraId="7CBB9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654" w:type="pct"/>
            <w:vAlign w:val="center"/>
          </w:tcPr>
          <w:p w14:paraId="68A7AF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大于等于90分</w:t>
            </w:r>
          </w:p>
        </w:tc>
        <w:tc>
          <w:tcPr>
            <w:tcW w:w="3345" w:type="pct"/>
            <w:vAlign w:val="center"/>
          </w:tcPr>
          <w:p w14:paraId="7C6618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全额支付</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度服务费</w:t>
            </w:r>
          </w:p>
        </w:tc>
      </w:tr>
      <w:tr w14:paraId="482F7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654" w:type="pct"/>
            <w:vAlign w:val="center"/>
          </w:tcPr>
          <w:p w14:paraId="32A00A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小于90分，大于等于</w:t>
            </w:r>
            <w:r>
              <w:rPr>
                <w:rFonts w:hint="eastAsia" w:asciiTheme="minorEastAsia" w:hAnsiTheme="minorEastAsia" w:eastAsiaTheme="minorEastAsia" w:cstheme="minorEastAsia"/>
                <w:color w:val="000000"/>
                <w:kern w:val="0"/>
                <w:sz w:val="24"/>
                <w:szCs w:val="24"/>
                <w:lang w:val="en-US" w:eastAsia="zh-CN"/>
              </w:rPr>
              <w:t>80</w:t>
            </w:r>
            <w:r>
              <w:rPr>
                <w:rFonts w:hint="eastAsia" w:asciiTheme="minorEastAsia" w:hAnsiTheme="minorEastAsia" w:eastAsiaTheme="minorEastAsia" w:cstheme="minorEastAsia"/>
                <w:color w:val="000000"/>
                <w:kern w:val="0"/>
                <w:sz w:val="24"/>
                <w:szCs w:val="24"/>
                <w:lang w:eastAsia="zh-CN"/>
              </w:rPr>
              <w:t>分</w:t>
            </w:r>
          </w:p>
        </w:tc>
        <w:tc>
          <w:tcPr>
            <w:tcW w:w="3345" w:type="pct"/>
            <w:vAlign w:val="center"/>
          </w:tcPr>
          <w:p w14:paraId="291500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度应付服务费的5%</w:t>
            </w:r>
          </w:p>
        </w:tc>
      </w:tr>
      <w:tr w14:paraId="6B5E7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654" w:type="pct"/>
            <w:vAlign w:val="center"/>
          </w:tcPr>
          <w:p w14:paraId="2293B3F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eastAsia="zh-CN"/>
              </w:rPr>
              <w:t>0分，大于等于</w:t>
            </w:r>
            <w:r>
              <w:rPr>
                <w:rFonts w:hint="eastAsia" w:asciiTheme="minorEastAsia" w:hAnsiTheme="minorEastAsia" w:eastAsiaTheme="minorEastAsia" w:cstheme="minorEastAsia"/>
                <w:color w:val="000000"/>
                <w:kern w:val="0"/>
                <w:sz w:val="24"/>
                <w:szCs w:val="24"/>
                <w:lang w:val="en-US" w:eastAsia="zh-CN"/>
              </w:rPr>
              <w:t>70</w:t>
            </w:r>
            <w:r>
              <w:rPr>
                <w:rFonts w:hint="eastAsia" w:asciiTheme="minorEastAsia" w:hAnsiTheme="minorEastAsia" w:eastAsiaTheme="minorEastAsia" w:cstheme="minorEastAsia"/>
                <w:color w:val="000000"/>
                <w:kern w:val="0"/>
                <w:sz w:val="24"/>
                <w:szCs w:val="24"/>
                <w:lang w:eastAsia="zh-CN"/>
              </w:rPr>
              <w:t>分</w:t>
            </w:r>
          </w:p>
        </w:tc>
        <w:tc>
          <w:tcPr>
            <w:tcW w:w="3345" w:type="pct"/>
            <w:vAlign w:val="center"/>
          </w:tcPr>
          <w:p w14:paraId="755B2E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度应付服务费的10%</w:t>
            </w:r>
          </w:p>
        </w:tc>
      </w:tr>
      <w:tr w14:paraId="31AD2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654" w:type="pct"/>
            <w:vAlign w:val="center"/>
          </w:tcPr>
          <w:p w14:paraId="7F7D29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70分</w:t>
            </w:r>
          </w:p>
        </w:tc>
        <w:tc>
          <w:tcPr>
            <w:tcW w:w="3345" w:type="pct"/>
            <w:vAlign w:val="center"/>
          </w:tcPr>
          <w:p w14:paraId="0BBEC6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bl>
    <w:p w14:paraId="4CF23DCC">
      <w:pPr>
        <w:keepNext w:val="0"/>
        <w:keepLines w:val="0"/>
        <w:pageBreakBefore w:val="0"/>
        <w:widowControl w:val="0"/>
        <w:kinsoku/>
        <w:wordWrap/>
        <w:overflowPunct/>
        <w:topLinePunct w:val="0"/>
        <w:autoSpaceDE/>
        <w:autoSpaceDN/>
        <w:bidi w:val="0"/>
        <w:adjustRightInd/>
        <w:snapToGrid/>
        <w:spacing w:line="580" w:lineRule="exact"/>
        <w:ind w:firstLine="560" w:firstLineChars="200"/>
        <w:jc w:val="both"/>
        <w:textAlignment w:val="auto"/>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lang w:eastAsia="zh-CN"/>
        </w:rPr>
        <w:t>二、</w:t>
      </w:r>
      <w:r>
        <w:rPr>
          <w:rFonts w:hint="eastAsia" w:asciiTheme="minorEastAsia" w:hAnsiTheme="minorEastAsia" w:eastAsiaTheme="minorEastAsia" w:cstheme="minorEastAsia"/>
          <w:color w:val="000000"/>
          <w:kern w:val="0"/>
          <w:sz w:val="28"/>
          <w:szCs w:val="28"/>
          <w:highlight w:val="none"/>
          <w:lang w:eastAsia="zh-CN"/>
        </w:rPr>
        <w:t>甲方</w:t>
      </w:r>
      <w:r>
        <w:rPr>
          <w:rFonts w:hint="eastAsia" w:asciiTheme="minorEastAsia" w:hAnsiTheme="minorEastAsia" w:eastAsiaTheme="minorEastAsia" w:cstheme="minorEastAsia"/>
          <w:color w:val="000000"/>
          <w:kern w:val="0"/>
          <w:sz w:val="28"/>
          <w:szCs w:val="28"/>
          <w:lang w:eastAsia="zh-CN"/>
        </w:rPr>
        <w:t>服务考核以甲方考核制度为准，考核制度解释权归甲方所有。</w:t>
      </w:r>
    </w:p>
    <w:p w14:paraId="3807DE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val="zh-CN"/>
        </w:rPr>
      </w:pPr>
      <w:bookmarkStart w:id="37" w:name="_Toc6817_WPSOffice_Level1"/>
      <w:r>
        <w:rPr>
          <w:rFonts w:hint="eastAsia" w:asciiTheme="minorEastAsia" w:hAnsiTheme="minorEastAsia" w:eastAsiaTheme="minorEastAsia" w:cstheme="minorEastAsia"/>
          <w:sz w:val="28"/>
          <w:szCs w:val="28"/>
          <w:lang w:val="en-US" w:eastAsia="zh-CN"/>
        </w:rPr>
        <w:t xml:space="preserve">第七条  </w:t>
      </w:r>
      <w:r>
        <w:rPr>
          <w:rFonts w:hint="eastAsia" w:asciiTheme="minorEastAsia" w:hAnsiTheme="minorEastAsia" w:eastAsiaTheme="minorEastAsia" w:cstheme="minorEastAsia"/>
          <w:sz w:val="28"/>
          <w:szCs w:val="28"/>
          <w:lang w:val="zh-CN"/>
        </w:rPr>
        <w:t>违约责任</w:t>
      </w:r>
      <w:bookmarkEnd w:id="37"/>
    </w:p>
    <w:p w14:paraId="51A4B87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bookmarkStart w:id="38" w:name="_Toc27050_WPSOffice_Level1"/>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如果甲方不再承担该项目的服务，届时本合同自动解除，双方均不承担违约责任。</w:t>
      </w:r>
    </w:p>
    <w:p w14:paraId="3DA91A02">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w:t>
      </w:r>
      <w:r>
        <w:rPr>
          <w:rFonts w:hint="eastAsia" w:asciiTheme="minorEastAsia" w:hAnsiTheme="minorEastAsia" w:eastAsiaTheme="minorEastAsia" w:cstheme="minorEastAsia"/>
          <w:sz w:val="28"/>
          <w:szCs w:val="28"/>
        </w:rPr>
        <w:t>乙方有下列情形之一的,甲方可解除本合同,因乙方原因给甲方造成损失的,乙方应负赔偿责任,且甲方无须向乙方支付报酬:</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乙方擅自调离</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乙方派遣的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w:t>
      </w:r>
      <w:r>
        <w:rPr>
          <w:rFonts w:hint="eastAsia" w:asciiTheme="minorEastAsia" w:hAnsiTheme="minorEastAsia" w:eastAsiaTheme="minorEastAsia" w:cstheme="minorEastAsia"/>
          <w:sz w:val="28"/>
          <w:szCs w:val="28"/>
          <w:lang w:eastAsia="zh-CN"/>
        </w:rPr>
        <w:t>缺岗或</w:t>
      </w:r>
      <w:r>
        <w:rPr>
          <w:rFonts w:hint="eastAsia" w:asciiTheme="minorEastAsia" w:hAnsiTheme="minorEastAsia" w:eastAsiaTheme="minorEastAsia" w:cstheme="minorEastAsia"/>
          <w:sz w:val="28"/>
          <w:szCs w:val="28"/>
        </w:rPr>
        <w:t>无故离岗</w:t>
      </w:r>
      <w:r>
        <w:rPr>
          <w:rFonts w:hint="eastAsia" w:asciiTheme="minorEastAsia" w:hAnsiTheme="minorEastAsia" w:eastAsiaTheme="minorEastAsia" w:cstheme="minorEastAsia"/>
          <w:sz w:val="28"/>
          <w:szCs w:val="28"/>
          <w:lang w:val="en-US" w:eastAsia="zh-CN"/>
        </w:rPr>
        <w:t>24小时</w:t>
      </w:r>
      <w:r>
        <w:rPr>
          <w:rFonts w:hint="eastAsia" w:asciiTheme="minorEastAsia" w:hAnsiTheme="minorEastAsia" w:eastAsiaTheme="minorEastAsia" w:cstheme="minorEastAsia"/>
          <w:sz w:val="28"/>
          <w:szCs w:val="28"/>
        </w:rPr>
        <w:t>以上的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乙方派遣的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人员不能完成本合同约定事务,经乙方撤换后,重新派遣的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人员仍不能完成本合同约定事务的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lang w:val="en-US" w:eastAsia="zh-CN"/>
        </w:rPr>
        <w:t xml:space="preserve">    4、</w:t>
      </w:r>
      <w:r>
        <w:rPr>
          <w:rFonts w:hint="eastAsia" w:asciiTheme="minorEastAsia" w:hAnsiTheme="minorEastAsia" w:eastAsiaTheme="minorEastAsia" w:cstheme="minorEastAsia"/>
          <w:sz w:val="28"/>
          <w:szCs w:val="28"/>
        </w:rPr>
        <w:t>因乙方派遣的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人员故意或者过失给甲方造成损失的</w:t>
      </w:r>
      <w:r>
        <w:rPr>
          <w:rFonts w:hint="eastAsia" w:asciiTheme="minorEastAsia" w:hAnsiTheme="minorEastAsia" w:eastAsiaTheme="minorEastAsia" w:cstheme="minorEastAsia"/>
          <w:sz w:val="28"/>
          <w:szCs w:val="28"/>
          <w:lang w:eastAsia="zh-CN"/>
        </w:rPr>
        <w:t>；</w:t>
      </w:r>
    </w:p>
    <w:p w14:paraId="4240554A">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5、乙方违反本合同约定的义务，未能在合同生效前取得相应的资质的，造成甲方经济损失的，乙方应给予甲方经济赔偿。</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乙方提供的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达不到甲方要求，限期</w:t>
      </w:r>
      <w:r>
        <w:rPr>
          <w:rFonts w:hint="eastAsia" w:asciiTheme="minorEastAsia" w:hAnsiTheme="minorEastAsia" w:eastAsiaTheme="minorEastAsia" w:cstheme="minorEastAsia"/>
          <w:sz w:val="28"/>
          <w:szCs w:val="28"/>
          <w:lang w:val="en-US" w:eastAsia="zh-CN"/>
        </w:rPr>
        <w:t>30天</w:t>
      </w:r>
      <w:r>
        <w:rPr>
          <w:rFonts w:hint="eastAsia" w:asciiTheme="minorEastAsia" w:hAnsiTheme="minorEastAsia" w:eastAsiaTheme="minorEastAsia" w:cstheme="minorEastAsia"/>
          <w:sz w:val="28"/>
          <w:szCs w:val="28"/>
        </w:rPr>
        <w:t>整改无明显效果</w:t>
      </w:r>
      <w:r>
        <w:rPr>
          <w:rFonts w:hint="eastAsia" w:asciiTheme="minorEastAsia" w:hAnsiTheme="minorEastAsia" w:eastAsiaTheme="minorEastAsia" w:cstheme="minorEastAsia"/>
          <w:sz w:val="28"/>
          <w:szCs w:val="28"/>
          <w:lang w:eastAsia="zh-CN"/>
        </w:rPr>
        <w:t>；或</w:t>
      </w:r>
      <w:r>
        <w:rPr>
          <w:rFonts w:hint="eastAsia" w:asciiTheme="minorEastAsia" w:hAnsiTheme="minorEastAsia" w:eastAsiaTheme="minorEastAsia" w:cstheme="minorEastAsia"/>
          <w:sz w:val="28"/>
          <w:szCs w:val="28"/>
        </w:rPr>
        <w:t>经甲方两次告知,乙方仍不改正的甲方有权解除合同</w:t>
      </w:r>
      <w:r>
        <w:rPr>
          <w:rFonts w:hint="eastAsia" w:asciiTheme="minorEastAsia" w:hAnsiTheme="minorEastAsia" w:eastAsiaTheme="minorEastAsia" w:cstheme="minorEastAsia"/>
          <w:sz w:val="28"/>
          <w:szCs w:val="28"/>
          <w:lang w:eastAsia="zh-CN"/>
        </w:rPr>
        <w:t>并扣除当月服务费用</w:t>
      </w:r>
      <w:r>
        <w:rPr>
          <w:rFonts w:hint="eastAsia" w:asciiTheme="minorEastAsia" w:hAnsiTheme="minorEastAsia" w:eastAsiaTheme="minorEastAsia" w:cstheme="minorEastAsia"/>
          <w:sz w:val="28"/>
          <w:szCs w:val="28"/>
          <w:lang w:val="en-US" w:eastAsia="zh-CN"/>
        </w:rPr>
        <w:t>作为处罚</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乙方从事违法犯罪活动的。</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三</w:t>
      </w:r>
      <w:r>
        <w:rPr>
          <w:rFonts w:hint="eastAsia" w:asciiTheme="minorEastAsia" w:hAnsiTheme="minorEastAsia" w:eastAsiaTheme="minorEastAsia" w:cstheme="minorEastAsia"/>
          <w:sz w:val="28"/>
          <w:szCs w:val="28"/>
        </w:rPr>
        <w:t>、甲乙双方应严格履行合同，如乙方提供的服务长期达不到甲方本协议“第</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条”“第</w:t>
      </w: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条第</w:t>
      </w: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款”所约定的标准与承诺的义务，甲方有权随时解除合同并扣除当月服务费用作为违约金。</w:t>
      </w:r>
    </w:p>
    <w:p w14:paraId="751F8C9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甲方有下列情形之一的,乙方可解除本合同,但在纠纷解决之前，乙方必须保障正常的服务，延期服务不超过30天</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1、甲方未按本合同约定向乙方支付报酬的</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br w:type="textWrapping"/>
      </w:r>
      <w:r>
        <w:rPr>
          <w:rFonts w:hint="eastAsia" w:asciiTheme="minorEastAsia" w:hAnsiTheme="minorEastAsia" w:eastAsiaTheme="minorEastAsia" w:cstheme="minorEastAsia"/>
          <w:sz w:val="28"/>
          <w:szCs w:val="28"/>
        </w:rPr>
        <w:t>  2、甲方要求</w:t>
      </w:r>
      <w:r>
        <w:rPr>
          <w:rFonts w:hint="eastAsia" w:asciiTheme="minorEastAsia" w:hAnsiTheme="minorEastAsia" w:eastAsiaTheme="minorEastAsia" w:cstheme="minorEastAsia"/>
          <w:sz w:val="28"/>
          <w:szCs w:val="28"/>
          <w:lang w:eastAsia="zh-CN"/>
        </w:rPr>
        <w:t>服务</w:t>
      </w:r>
      <w:r>
        <w:rPr>
          <w:rFonts w:hint="eastAsia" w:asciiTheme="minorEastAsia" w:hAnsiTheme="minorEastAsia" w:eastAsiaTheme="minorEastAsia" w:cstheme="minorEastAsia"/>
          <w:sz w:val="28"/>
          <w:szCs w:val="28"/>
        </w:rPr>
        <w:t>人员从事违法犯罪活动的。</w:t>
      </w:r>
    </w:p>
    <w:p w14:paraId="35A9875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在合同服务期限内，乙方未经甲方同意又委托第三方（人）从事本项目内服务工作的，应视为乙方严重违约，甲方有权随时终止合同且不承担任何责任（包括但不限于违约责任），乙方需向甲方按照本合同年度项目收入总额的双倍标准支付违约金，且由乙方承担因此违约行为产生的一切法律后果和赔偿责任。</w:t>
      </w:r>
    </w:p>
    <w:p w14:paraId="7BFE0535">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六、本合同生效之后，甲乙双方需认真履行本协议，不得无故单方面解除（本合同第七条第一款、第二款、第三款、第四款、第五款约定情形除外）。任何一方违反协议条款或单方面终止协议，给对方造成经济损失，均由违约方赔偿（包括但不限于律师费、诉讼费、保全费、鉴定费、差旅费）。</w:t>
      </w:r>
    </w:p>
    <w:p w14:paraId="5F946FC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七、因不可抗力无法履行本合同时，发生不可抗力一方应自不可抗力发生之日起3日内以书面形式通知对方。</w:t>
      </w:r>
      <w:r>
        <w:rPr>
          <w:rFonts w:hint="eastAsia" w:asciiTheme="minorEastAsia" w:hAnsiTheme="minorEastAsia" w:eastAsiaTheme="minorEastAsia" w:cstheme="minorEastAsia"/>
          <w:sz w:val="28"/>
          <w:szCs w:val="28"/>
        </w:rPr>
        <w:t>以减轻可能给对方造成的损失,在取得有关机构的不可抗力证明或双方谅解确认后,允许延期履行或修订合同,并根据情况可部分或全部免于承担违约责任。</w:t>
      </w:r>
      <w:r>
        <w:rPr>
          <w:rFonts w:hint="eastAsia" w:asciiTheme="minorEastAsia" w:hAnsiTheme="minorEastAsia" w:eastAsiaTheme="minorEastAsia" w:cstheme="minorEastAsia"/>
          <w:sz w:val="28"/>
          <w:szCs w:val="28"/>
          <w:lang w:val="en-US" w:eastAsia="zh-CN"/>
        </w:rPr>
        <w:t>不可抗力包括但不限于房屋灭失、地震等。</w:t>
      </w:r>
    </w:p>
    <w:bookmarkEnd w:id="38"/>
    <w:p w14:paraId="25D79BF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第</w:t>
      </w:r>
      <w:r>
        <w:rPr>
          <w:rFonts w:hint="eastAsia" w:asciiTheme="minorEastAsia" w:hAnsiTheme="minorEastAsia" w:eastAsiaTheme="minorEastAsia" w:cstheme="minorEastAsia"/>
          <w:sz w:val="28"/>
          <w:szCs w:val="28"/>
          <w:lang w:val="en-US" w:eastAsia="zh-CN"/>
        </w:rPr>
        <w:t>八</w:t>
      </w:r>
      <w:r>
        <w:rPr>
          <w:rFonts w:hint="eastAsia" w:asciiTheme="minorEastAsia" w:hAnsiTheme="minorEastAsia" w:eastAsiaTheme="minorEastAsia" w:cstheme="minorEastAsia"/>
          <w:sz w:val="28"/>
          <w:szCs w:val="28"/>
          <w:lang w:eastAsia="zh-CN"/>
        </w:rPr>
        <w:t xml:space="preserve">条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保密条款</w:t>
      </w:r>
    </w:p>
    <w:p w14:paraId="3BB093C9">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乙方对甲方提供的资料负有保密义务,未经甲方同意,不得向项目无关单位和个人提供有关资料。如发生以上情况,甲方有权索赔。</w:t>
      </w:r>
    </w:p>
    <w:p w14:paraId="3FF9C43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第</w:t>
      </w:r>
      <w:r>
        <w:rPr>
          <w:rFonts w:hint="eastAsia" w:asciiTheme="minorEastAsia" w:hAnsiTheme="minorEastAsia" w:eastAsiaTheme="minorEastAsia" w:cstheme="minorEastAsia"/>
          <w:sz w:val="28"/>
          <w:szCs w:val="28"/>
          <w:lang w:val="en-US" w:eastAsia="zh-CN"/>
        </w:rPr>
        <w:t>九</w:t>
      </w:r>
      <w:r>
        <w:rPr>
          <w:rFonts w:hint="eastAsia" w:asciiTheme="minorEastAsia" w:hAnsiTheme="minorEastAsia" w:eastAsiaTheme="minorEastAsia" w:cstheme="minorEastAsia"/>
          <w:sz w:val="28"/>
          <w:szCs w:val="28"/>
          <w:lang w:eastAsia="zh-CN"/>
        </w:rPr>
        <w:t xml:space="preserve">条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争议的解决</w:t>
      </w:r>
    </w:p>
    <w:p w14:paraId="32A2DA0C">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本合同执行过程中发生的任何争议,如双方不能通过友好协商解决,双方自愿向张家口经济开发区人民法院提起诉讼。</w:t>
      </w:r>
    </w:p>
    <w:p w14:paraId="0B1489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第</w:t>
      </w:r>
      <w:r>
        <w:rPr>
          <w:rFonts w:hint="eastAsia" w:asciiTheme="minorEastAsia" w:hAnsiTheme="minorEastAsia" w:eastAsiaTheme="minorEastAsia" w:cstheme="minorEastAsia"/>
          <w:sz w:val="28"/>
          <w:szCs w:val="28"/>
          <w:lang w:val="en-US" w:eastAsia="zh-CN"/>
        </w:rPr>
        <w:t>十</w:t>
      </w:r>
      <w:r>
        <w:rPr>
          <w:rFonts w:hint="eastAsia" w:asciiTheme="minorEastAsia" w:hAnsiTheme="minorEastAsia" w:eastAsiaTheme="minorEastAsia" w:cstheme="minorEastAsia"/>
          <w:sz w:val="28"/>
          <w:szCs w:val="28"/>
          <w:lang w:eastAsia="zh-CN"/>
        </w:rPr>
        <w:t xml:space="preserve">条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税费</w:t>
      </w:r>
    </w:p>
    <w:p w14:paraId="01F1F251">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此项目发生的与本合同执行有关的一切税费均由乙方负担。</w:t>
      </w:r>
    </w:p>
    <w:p w14:paraId="4A3E906E">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第</w:t>
      </w:r>
      <w:r>
        <w:rPr>
          <w:rFonts w:hint="eastAsia" w:asciiTheme="minorEastAsia" w:hAnsiTheme="minorEastAsia" w:eastAsiaTheme="minorEastAsia" w:cstheme="minorEastAsia"/>
          <w:sz w:val="28"/>
          <w:szCs w:val="28"/>
          <w:lang w:val="en-US" w:eastAsia="zh-CN"/>
        </w:rPr>
        <w:t>十一</w:t>
      </w:r>
      <w:r>
        <w:rPr>
          <w:rFonts w:hint="eastAsia" w:asciiTheme="minorEastAsia" w:hAnsiTheme="minorEastAsia" w:eastAsiaTheme="minorEastAsia" w:cstheme="minorEastAsia"/>
          <w:sz w:val="28"/>
          <w:szCs w:val="28"/>
          <w:lang w:eastAsia="zh-CN"/>
        </w:rPr>
        <w:t xml:space="preserve">条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其它</w:t>
      </w:r>
    </w:p>
    <w:p w14:paraId="76EA4808">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一、</w:t>
      </w:r>
      <w:r>
        <w:rPr>
          <w:rFonts w:hint="eastAsia" w:asciiTheme="minorEastAsia" w:hAnsiTheme="minorEastAsia" w:eastAsiaTheme="minorEastAsia" w:cstheme="minorEastAsia"/>
          <w:sz w:val="28"/>
          <w:szCs w:val="28"/>
        </w:rPr>
        <w:t>本合同所有附件为合同的有效组成部分,与本合同具有同等法律效力。</w:t>
      </w:r>
    </w:p>
    <w:p w14:paraId="5B0E2354">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二、</w:t>
      </w:r>
      <w:r>
        <w:rPr>
          <w:rFonts w:hint="eastAsia" w:asciiTheme="minorEastAsia" w:hAnsiTheme="minorEastAsia" w:eastAsiaTheme="minorEastAsia" w:cstheme="minorEastAsia"/>
          <w:sz w:val="28"/>
          <w:szCs w:val="28"/>
        </w:rPr>
        <w:t>双方在履行合同期间，如甲方要求增加或减少服务事项，双方应就相应增加或减少的</w:t>
      </w:r>
      <w:r>
        <w:rPr>
          <w:rFonts w:hint="eastAsia" w:asciiTheme="minorEastAsia" w:hAnsiTheme="minorEastAsia" w:eastAsiaTheme="minorEastAsia" w:cstheme="minorEastAsia"/>
          <w:sz w:val="28"/>
          <w:szCs w:val="28"/>
          <w:lang w:val="en-US" w:eastAsia="zh-CN"/>
        </w:rPr>
        <w:t>服务</w:t>
      </w:r>
      <w:r>
        <w:rPr>
          <w:rFonts w:hint="eastAsia" w:asciiTheme="minorEastAsia" w:hAnsiTheme="minorEastAsia" w:eastAsiaTheme="minorEastAsia" w:cstheme="minorEastAsia"/>
          <w:sz w:val="28"/>
          <w:szCs w:val="28"/>
        </w:rPr>
        <w:t>人员服务费用签订补充协议，所有经双方签署确认的文件(包括会议纪要、补充协议、往来信函)即成为本合同的有效组成部分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与本合同具有同等法律效力。</w:t>
      </w:r>
    </w:p>
    <w:p w14:paraId="3EF6DAFF">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三、</w:t>
      </w:r>
      <w:r>
        <w:rPr>
          <w:rFonts w:hint="eastAsia" w:asciiTheme="minorEastAsia" w:hAnsiTheme="minorEastAsia" w:eastAsiaTheme="minorEastAsia" w:cstheme="minorEastAsia"/>
          <w:sz w:val="28"/>
          <w:szCs w:val="28"/>
        </w:rPr>
        <w:t>如一方地址、电话、传真号码有变更,应在变更当日内书面通知对方,否则,应承担相应责任。</w:t>
      </w:r>
    </w:p>
    <w:p w14:paraId="16B28FA7">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本合同一式</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份，</w:t>
      </w:r>
      <w:r>
        <w:rPr>
          <w:rFonts w:hint="eastAsia" w:asciiTheme="minorEastAsia" w:hAnsiTheme="minorEastAsia" w:eastAsiaTheme="minorEastAsia" w:cstheme="minorEastAsia"/>
          <w:sz w:val="28"/>
          <w:szCs w:val="28"/>
          <w:lang w:val="en-US" w:eastAsia="zh-CN"/>
        </w:rPr>
        <w:t>甲乙双方各执两份，效力相同，</w:t>
      </w:r>
      <w:r>
        <w:rPr>
          <w:rFonts w:hint="eastAsia" w:asciiTheme="minorEastAsia" w:hAnsiTheme="minorEastAsia" w:eastAsiaTheme="minorEastAsia" w:cstheme="minorEastAsia"/>
          <w:sz w:val="28"/>
          <w:szCs w:val="28"/>
        </w:rPr>
        <w:t>经签字</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盖章</w:t>
      </w:r>
      <w:r>
        <w:rPr>
          <w:rFonts w:hint="eastAsia" w:asciiTheme="minorEastAsia" w:hAnsiTheme="minorEastAsia" w:eastAsiaTheme="minorEastAsia" w:cstheme="minorEastAsia"/>
          <w:sz w:val="28"/>
          <w:szCs w:val="28"/>
        </w:rPr>
        <w:t>之日起生效</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未尽事宜双方协商解决。</w:t>
      </w:r>
    </w:p>
    <w:p w14:paraId="3C55BF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甲方（盖章）：                       乙方（盖章）：</w:t>
      </w:r>
    </w:p>
    <w:p w14:paraId="0D0CE89B">
      <w:pPr>
        <w:pStyle w:val="4"/>
        <w:keepNext/>
        <w:keepLines/>
        <w:pageBreakBefore w:val="0"/>
        <w:widowControl w:val="0"/>
        <w:kinsoku/>
        <w:wordWrap/>
        <w:overflowPunct/>
        <w:topLinePunct w:val="0"/>
        <w:autoSpaceDE/>
        <w:autoSpaceDN/>
        <w:bidi w:val="0"/>
        <w:adjustRightInd/>
        <w:snapToGrid/>
        <w:spacing w:line="500" w:lineRule="exact"/>
        <w:textAlignment w:val="auto"/>
        <w:outlineLvl w:val="9"/>
        <w:rPr>
          <w:rFonts w:hint="eastAsia"/>
          <w:lang w:val="zh-CN"/>
        </w:rPr>
      </w:pPr>
    </w:p>
    <w:p w14:paraId="5DA9BB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法定代表人（委托人）：</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zh-CN"/>
        </w:rPr>
        <w:t xml:space="preserve">法定代表人（委托人）： </w:t>
      </w:r>
    </w:p>
    <w:p w14:paraId="2E2A2CB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z w:val="28"/>
          <w:szCs w:val="28"/>
        </w:rPr>
      </w:pPr>
    </w:p>
    <w:p w14:paraId="240910D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lang w:val="zh-CN"/>
        </w:rPr>
        <w:t>年     月     日</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zh-CN"/>
        </w:rPr>
        <w:t>年     月     日</w:t>
      </w:r>
    </w:p>
    <w:p w14:paraId="60668F59">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p>
    <w:p w14:paraId="7A3D107B">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bCs/>
          <w:sz w:val="24"/>
          <w:szCs w:val="24"/>
          <w:highlight w:val="none"/>
          <w:lang w:val="en-US" w:eastAsia="zh-CN"/>
        </w:rPr>
      </w:pPr>
      <w:bookmarkStart w:id="39" w:name="_Toc14768"/>
      <w:r>
        <w:rPr>
          <w:rFonts w:hint="eastAsia" w:asciiTheme="minorEastAsia" w:hAnsiTheme="minorEastAsia" w:eastAsiaTheme="minorEastAsia" w:cstheme="minorEastAsia"/>
          <w:b/>
          <w:bCs/>
          <w:sz w:val="24"/>
          <w:szCs w:val="24"/>
          <w:highlight w:val="none"/>
        </w:rPr>
        <w:t>附件一：服务</w:t>
      </w:r>
      <w:r>
        <w:rPr>
          <w:rFonts w:hint="eastAsia" w:asciiTheme="minorEastAsia" w:hAnsiTheme="minorEastAsia" w:eastAsiaTheme="minorEastAsia" w:cstheme="minorEastAsia"/>
          <w:b/>
          <w:bCs/>
          <w:sz w:val="24"/>
          <w:szCs w:val="24"/>
          <w:highlight w:val="none"/>
          <w:lang w:val="en-US" w:eastAsia="zh-CN"/>
        </w:rPr>
        <w:t>和技术要求</w:t>
      </w:r>
    </w:p>
    <w:p w14:paraId="2A316FF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项目设项目主管，对项目整体进行运营、人员管理等负全责。</w:t>
      </w:r>
    </w:p>
    <w:p w14:paraId="24C40730">
      <w:pPr>
        <w:keepNext w:val="0"/>
        <w:keepLines w:val="0"/>
        <w:pageBreakBefore w:val="0"/>
        <w:widowControl/>
        <w:kinsoku/>
        <w:wordWrap/>
        <w:overflowPunct/>
        <w:topLinePunct w:val="0"/>
        <w:autoSpaceDE/>
        <w:autoSpaceDN/>
        <w:bidi w:val="0"/>
        <w:adjustRightInd/>
        <w:snapToGrid/>
        <w:spacing w:line="560" w:lineRule="exact"/>
        <w:ind w:firstLine="476" w:firstLineChars="200"/>
        <w:jc w:val="left"/>
        <w:textAlignment w:val="auto"/>
        <w:rPr>
          <w:rFonts w:hint="default" w:ascii="宋体" w:hAnsi="宋体" w:eastAsia="宋体" w:cs="宋体"/>
          <w:spacing w:val="-1"/>
          <w:sz w:val="24"/>
          <w:szCs w:val="24"/>
          <w:lang w:val="en-US" w:eastAsia="zh-CN"/>
        </w:rPr>
      </w:pPr>
      <w:r>
        <w:rPr>
          <w:rFonts w:hint="eastAsia" w:ascii="宋体" w:hAnsi="宋体" w:cs="宋体"/>
          <w:spacing w:val="-1"/>
          <w:sz w:val="24"/>
          <w:szCs w:val="24"/>
          <w:lang w:val="en-US" w:eastAsia="zh-CN"/>
        </w:rPr>
        <w:t>综合服务：设项目主管，</w:t>
      </w:r>
      <w:r>
        <w:rPr>
          <w:rFonts w:hint="eastAsia" w:ascii="宋体" w:hAnsi="宋体" w:eastAsia="宋体" w:cs="宋体"/>
          <w:spacing w:val="-1"/>
          <w:sz w:val="24"/>
          <w:szCs w:val="24"/>
          <w:lang w:val="en-US" w:eastAsia="zh-CN"/>
        </w:rPr>
        <w:t>对项目整体进行运营、人员管理等负全责</w:t>
      </w:r>
      <w:r>
        <w:rPr>
          <w:rFonts w:hint="eastAsia" w:ascii="宋体" w:hAnsi="宋体" w:cs="宋体"/>
          <w:spacing w:val="-1"/>
          <w:sz w:val="24"/>
          <w:szCs w:val="24"/>
          <w:lang w:val="en-US" w:eastAsia="zh-CN"/>
        </w:rPr>
        <w:t>。设前台服务人员，主动询问，登记信息准</w:t>
      </w:r>
      <w:bookmarkStart w:id="67" w:name="_GoBack"/>
      <w:bookmarkEnd w:id="67"/>
      <w:r>
        <w:rPr>
          <w:rFonts w:hint="eastAsia" w:ascii="宋体" w:hAnsi="宋体" w:cs="宋体"/>
          <w:spacing w:val="-1"/>
          <w:sz w:val="24"/>
          <w:szCs w:val="24"/>
          <w:lang w:val="en-US" w:eastAsia="zh-CN"/>
        </w:rPr>
        <w:t>确，及时联系被访人，准确核实工作人员身份。听从安排，认真完成领导布置的内勤工作。</w:t>
      </w:r>
    </w:p>
    <w:p w14:paraId="4EC3A044">
      <w:pPr>
        <w:keepNext w:val="0"/>
        <w:keepLines w:val="0"/>
        <w:pageBreakBefore w:val="0"/>
        <w:widowControl/>
        <w:kinsoku/>
        <w:wordWrap/>
        <w:overflowPunct/>
        <w:topLinePunct w:val="0"/>
        <w:autoSpaceDE/>
        <w:autoSpaceDN/>
        <w:bidi w:val="0"/>
        <w:adjustRightInd/>
        <w:snapToGrid/>
        <w:spacing w:line="560" w:lineRule="exact"/>
        <w:ind w:firstLine="476" w:firstLineChars="200"/>
        <w:jc w:val="left"/>
        <w:textAlignment w:val="auto"/>
        <w:rPr>
          <w:rFonts w:ascii="宋体" w:hAnsi="宋体" w:eastAsia="宋体" w:cs="宋体"/>
          <w:spacing w:val="-3"/>
          <w:sz w:val="24"/>
          <w:szCs w:val="24"/>
        </w:rPr>
      </w:pPr>
      <w:r>
        <w:rPr>
          <w:rFonts w:hint="eastAsia" w:ascii="宋体" w:hAnsi="宋体" w:cs="宋体"/>
          <w:spacing w:val="-1"/>
          <w:sz w:val="24"/>
          <w:szCs w:val="24"/>
          <w:lang w:val="en-US" w:eastAsia="zh-CN"/>
        </w:rPr>
        <w:t>垃圾处理及清运</w:t>
      </w:r>
      <w:r>
        <w:rPr>
          <w:rFonts w:hint="eastAsia" w:asciiTheme="minorEastAsia" w:hAnsiTheme="minorEastAsia" w:eastAsiaTheme="minorEastAsia" w:cstheme="minorEastAsia"/>
          <w:sz w:val="24"/>
          <w:szCs w:val="24"/>
          <w:lang w:val="en-US" w:eastAsia="zh-CN"/>
        </w:rPr>
        <w:t>：</w:t>
      </w:r>
      <w:r>
        <w:rPr>
          <w:rFonts w:hint="eastAsia" w:ascii="宋体" w:hAnsi="宋体" w:eastAsia="宋体" w:cs="宋体"/>
          <w:spacing w:val="-1"/>
          <w:sz w:val="24"/>
          <w:szCs w:val="24"/>
        </w:rPr>
        <w:t>定时清理垃圾桶垃圾，将垃圾运送至指定垃圾存放点，联系垃圾清运公司进行清运，做到垃圾无散落，垃圾存放点无垃圾堆积、无异味散发，清运记录完整准确，确保日产日清。</w:t>
      </w:r>
    </w:p>
    <w:p w14:paraId="3626CA4B">
      <w:pPr>
        <w:keepNext w:val="0"/>
        <w:keepLines w:val="0"/>
        <w:pageBreakBefore w:val="0"/>
        <w:widowControl/>
        <w:kinsoku/>
        <w:wordWrap/>
        <w:overflowPunct/>
        <w:topLinePunct w:val="0"/>
        <w:autoSpaceDE/>
        <w:autoSpaceDN/>
        <w:bidi w:val="0"/>
        <w:adjustRightInd/>
        <w:snapToGrid/>
        <w:spacing w:line="560" w:lineRule="exact"/>
        <w:ind w:firstLine="476" w:firstLineChars="200"/>
        <w:jc w:val="left"/>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四害消杀服务：</w:t>
      </w:r>
      <w:r>
        <w:rPr>
          <w:rFonts w:hint="default" w:ascii="宋体" w:hAnsi="宋体" w:cs="宋体"/>
          <w:spacing w:val="-1"/>
          <w:sz w:val="24"/>
          <w:szCs w:val="24"/>
          <w:lang w:val="en-US" w:eastAsia="zh-CN"/>
        </w:rPr>
        <w:t>所承包的防治项目,应有首次杀灭作业前的现场密度检测记录，具体施工操作时间由乙方合理安排，提前以电话联系或传真施工安排表的方式通知甲方负责人</w:t>
      </w:r>
      <w:r>
        <w:rPr>
          <w:rFonts w:hint="eastAsia" w:ascii="宋体" w:hAnsi="宋体" w:cs="宋体"/>
          <w:spacing w:val="-1"/>
          <w:sz w:val="24"/>
          <w:szCs w:val="24"/>
          <w:lang w:val="en-US" w:eastAsia="zh-CN"/>
        </w:rPr>
        <w:t>，</w:t>
      </w:r>
      <w:r>
        <w:rPr>
          <w:rFonts w:hint="default" w:ascii="宋体" w:hAnsi="宋体" w:cs="宋体"/>
          <w:spacing w:val="-1"/>
          <w:sz w:val="24"/>
          <w:szCs w:val="24"/>
          <w:lang w:val="en-US" w:eastAsia="zh-CN"/>
        </w:rPr>
        <w:t>每次应有相关记录资料提请甲方相关人员现场签字确认。</w:t>
      </w:r>
    </w:p>
    <w:p w14:paraId="169AB9F7">
      <w:pPr>
        <w:keepNext w:val="0"/>
        <w:keepLines w:val="0"/>
        <w:pageBreakBefore w:val="0"/>
        <w:widowControl/>
        <w:kinsoku/>
        <w:wordWrap/>
        <w:overflowPunct/>
        <w:topLinePunct w:val="0"/>
        <w:autoSpaceDE/>
        <w:autoSpaceDN/>
        <w:bidi w:val="0"/>
        <w:adjustRightInd/>
        <w:snapToGrid/>
        <w:spacing w:line="560" w:lineRule="exact"/>
        <w:ind w:firstLine="476" w:firstLineChars="200"/>
        <w:jc w:val="left"/>
        <w:textAlignment w:val="auto"/>
        <w:rPr>
          <w:rFonts w:hint="eastAsia" w:ascii="宋体" w:hAnsi="宋体" w:cs="宋体"/>
          <w:spacing w:val="-1"/>
          <w:sz w:val="24"/>
          <w:szCs w:val="24"/>
          <w:lang w:val="en-US" w:eastAsia="zh-CN"/>
        </w:rPr>
      </w:pPr>
      <w:r>
        <w:rPr>
          <w:rFonts w:hint="eastAsia" w:ascii="宋体" w:hAnsi="宋体" w:cs="宋体"/>
          <w:spacing w:val="-1"/>
          <w:sz w:val="24"/>
          <w:szCs w:val="24"/>
          <w:lang w:val="en-US" w:eastAsia="zh-CN"/>
        </w:rPr>
        <w:t>保洁服务：</w:t>
      </w:r>
      <w:r>
        <w:rPr>
          <w:rFonts w:hint="default" w:ascii="宋体" w:hAnsi="宋体" w:cs="宋体"/>
          <w:spacing w:val="-1"/>
          <w:sz w:val="24"/>
          <w:szCs w:val="24"/>
          <w:lang w:val="en-US" w:eastAsia="zh-CN"/>
        </w:rPr>
        <w:t>公共区域精细化清洁维护，涵盖大堂、走廊、电梯厅、楼梯间、卫生间及办公公共区域。日常负责地面清扫、拖洗、推尘，墙面、踢脚线、指示牌除尘擦拭，电梯内外清洁保养，玻璃门窗及镜面洁净处理。卫生间定时清洁消毒，保持洗手台、便器干净无异味，及时补充卫生用品。定期对垃圾桶、烟灰缸清理消杀，做好垃圾分类清运，细致清理卫生死角。服务人员专业规范，使用环保清洁用品，定时巡回保洁，维持写字楼整洁、明亮、舒适的办公环境，提升整体商务形象。</w:t>
      </w:r>
    </w:p>
    <w:p w14:paraId="366A1D0D">
      <w:pPr>
        <w:pStyle w:val="2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二、项目要求</w:t>
      </w:r>
    </w:p>
    <w:p w14:paraId="05AB94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保洁</w:t>
      </w:r>
      <w:r>
        <w:rPr>
          <w:rFonts w:hint="eastAsia" w:ascii="宋体" w:hAnsi="宋体" w:eastAsia="宋体" w:cs="宋体"/>
          <w:b/>
          <w:bCs/>
          <w:sz w:val="28"/>
          <w:szCs w:val="28"/>
          <w:highlight w:val="none"/>
          <w:lang w:val="en-US" w:eastAsia="zh-CN"/>
        </w:rPr>
        <w:t>服务</w:t>
      </w:r>
    </w:p>
    <w:p w14:paraId="6BF3A394">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大厅保洁</w:t>
      </w:r>
    </w:p>
    <w:p w14:paraId="3201FBDC">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大厅地面定时巡回清扫，要保证地面干净，无各类污渍、水渍、脚印及杂物堆积，玻璃门与把手光亮，家具表面整洁无灰尘，天花板无蛛网，灯具干净、无积尘，指示牌干净、无污渍，指示醒目。</w:t>
      </w:r>
    </w:p>
    <w:p w14:paraId="342901FF">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过道与楼梯保洁</w:t>
      </w:r>
    </w:p>
    <w:p w14:paraId="25006D3C">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每日清扫过道与楼梯，过道与楼梯地面保持清洁，扶手无灰尘，角落无蜘蛛网堆积。做到过道与楼梯地面清洁，扶手无灰尘，角落无蜘蛛网堆积。</w:t>
      </w:r>
    </w:p>
    <w:p w14:paraId="6CF3F0B5">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3、</w:t>
      </w:r>
      <w:r>
        <w:rPr>
          <w:rFonts w:hint="eastAsia" w:ascii="宋体" w:hAnsi="宋体" w:eastAsia="宋体" w:cs="宋体"/>
          <w:spacing w:val="-1"/>
          <w:sz w:val="24"/>
          <w:szCs w:val="24"/>
        </w:rPr>
        <w:t>电梯间保洁</w:t>
      </w:r>
    </w:p>
    <w:p w14:paraId="38448CE2">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电梯运行后及时清理轿厢地面，擦拭轿厢内壁、按钮与扶手，定期对电梯沟槽进行清洁，做到轿厢内无异味、无垃圾、内壁与按钮干净光亮。</w:t>
      </w:r>
    </w:p>
    <w:p w14:paraId="37BE8F45">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4、</w:t>
      </w:r>
      <w:r>
        <w:rPr>
          <w:rFonts w:hint="eastAsia" w:ascii="宋体" w:hAnsi="宋体" w:eastAsia="宋体" w:cs="宋体"/>
          <w:spacing w:val="-1"/>
          <w:sz w:val="24"/>
          <w:szCs w:val="24"/>
        </w:rPr>
        <w:t>卫生间保洁</w:t>
      </w:r>
    </w:p>
    <w:p w14:paraId="44B99176">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定时巡查清洁卫生间，做到卫生间无异味、便池干净无污渍、洗手台与镜子光洁无水渍，用品充足。</w:t>
      </w:r>
    </w:p>
    <w:p w14:paraId="3847D89A">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茶水间保洁</w:t>
      </w:r>
    </w:p>
    <w:p w14:paraId="4BB4411D">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每天清洁茶水间水槽、台面与垃圾桶，冲洗水槽，擦拭台面水渍，清理垃圾桶垃圾。定期清理饮水机外部，做到水槽、台面干净无污渍，垃圾桶无堆积垃圾，饮水机外部清洁。</w:t>
      </w:r>
    </w:p>
    <w:p w14:paraId="3E319CED">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会议室保洁</w:t>
      </w:r>
    </w:p>
    <w:p w14:paraId="57EEBDA2">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会前会后分别对会议室进行针对性清洁，包括地面、桌椅、窗户、会议设备等，还需做好通风换气等工作，做到地面干净无污渍、灰尘、脚印，角落无杂物堆积。会议桌椅表面无灰尘、手印，摆放整齐。窗户玻璃透明洁净，窗台无灰尘堆积。会议设备如投影仪、麦克风等表面无灰尘。</w:t>
      </w:r>
    </w:p>
    <w:p w14:paraId="182050F1">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rPr>
        <w:t>领导办公室保洁</w:t>
      </w:r>
    </w:p>
    <w:p w14:paraId="78DB5775">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每天完成领导办公室清洁工作，做到办公桌面文件摆放整齐，清理无用文件纸张。地面整洁干净，办公家具表面一尘不染。妥善处理在保洁过程中看到的文件资料等信息，不泄露任何内容。</w:t>
      </w:r>
    </w:p>
    <w:p w14:paraId="610FD203">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rPr>
        <w:t>公共活动场所保洁</w:t>
      </w:r>
    </w:p>
    <w:p w14:paraId="6D363AD4">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rPr>
        <w:t>在活动前后进行集中清洁。活动前清理场地杂物，活动后清扫垃圾、拖地，擦拭桌椅等设施，做到活动场所干净整洁，设施无灰尘堆积。</w:t>
      </w:r>
    </w:p>
    <w:p w14:paraId="66E78441">
      <w:pPr>
        <w:widowControl/>
        <w:spacing w:line="360" w:lineRule="auto"/>
        <w:ind w:firstLine="476" w:firstLineChars="200"/>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9、</w:t>
      </w:r>
      <w:r>
        <w:rPr>
          <w:rFonts w:hint="eastAsia" w:ascii="宋体" w:hAnsi="宋体" w:eastAsia="宋体" w:cs="宋体"/>
          <w:spacing w:val="-1"/>
          <w:sz w:val="24"/>
          <w:szCs w:val="24"/>
          <w:highlight w:val="none"/>
        </w:rPr>
        <w:t>楼宇外墙玻璃保洁</w:t>
      </w:r>
    </w:p>
    <w:p w14:paraId="2234F2DE">
      <w:pPr>
        <w:widowControl/>
        <w:spacing w:line="360" w:lineRule="auto"/>
        <w:ind w:firstLine="476" w:firstLineChars="200"/>
        <w:jc w:val="left"/>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依规清洗外墙玻璃，先制定方案、设置标识，再用专业设备与清洁剂操作。保证玻璃外观整洁，无污渍、灰尘堆积。</w:t>
      </w:r>
    </w:p>
    <w:p w14:paraId="321DEBBD">
      <w:pPr>
        <w:widowControl/>
        <w:spacing w:line="360" w:lineRule="auto"/>
        <w:ind w:firstLine="476" w:firstLineChars="200"/>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1</w:t>
      </w:r>
      <w:r>
        <w:rPr>
          <w:rFonts w:hint="eastAsia" w:ascii="宋体" w:hAnsi="宋体" w:cs="宋体"/>
          <w:spacing w:val="-1"/>
          <w:sz w:val="24"/>
          <w:szCs w:val="24"/>
          <w:lang w:val="en-US" w:eastAsia="zh-CN"/>
        </w:rPr>
        <w:t>0</w:t>
      </w:r>
      <w:r>
        <w:rPr>
          <w:rFonts w:hint="eastAsia" w:ascii="宋体" w:hAnsi="宋体" w:eastAsia="宋体" w:cs="宋体"/>
          <w:spacing w:val="-1"/>
          <w:sz w:val="24"/>
          <w:szCs w:val="24"/>
          <w:lang w:val="en-US" w:eastAsia="zh-CN"/>
        </w:rPr>
        <w:t>、</w:t>
      </w:r>
      <w:r>
        <w:rPr>
          <w:rFonts w:hint="eastAsia" w:ascii="宋体" w:hAnsi="宋体" w:eastAsia="宋体" w:cs="宋体"/>
          <w:spacing w:val="-1"/>
          <w:sz w:val="24"/>
          <w:szCs w:val="24"/>
        </w:rPr>
        <w:t>保洁值班规定</w:t>
      </w:r>
    </w:p>
    <w:p w14:paraId="5B23AABF">
      <w:pPr>
        <w:spacing w:line="360" w:lineRule="auto"/>
        <w:ind w:firstLine="476" w:firstLineChars="200"/>
        <w:jc w:val="left"/>
        <w:rPr>
          <w:rStyle w:val="16"/>
          <w:rFonts w:hint="eastAsia"/>
          <w:woUserID w:val="0"/>
        </w:rPr>
      </w:pPr>
      <w:r>
        <w:rPr>
          <w:rFonts w:hint="eastAsia" w:ascii="宋体" w:hAnsi="宋体" w:eastAsia="宋体" w:cs="宋体"/>
          <w:spacing w:val="-1"/>
          <w:sz w:val="24"/>
          <w:szCs w:val="24"/>
        </w:rPr>
        <w:t xml:space="preserve"> 每天中午安排一人轮流值班，定时对环境卫生进行巡查，如发现有清洁不到位或者新产生的卫生问题，要及时进行处理，确保环境卫生情况始终处于良好状态。同时记录值班期间的各项情况，在值班结束后向相关负责人汇报。</w:t>
      </w:r>
    </w:p>
    <w:p w14:paraId="5FE7ADD9">
      <w:pPr>
        <w:pStyle w:val="22"/>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六、绩效评价及标准</w:t>
      </w:r>
    </w:p>
    <w:p w14:paraId="57B819E0">
      <w:pPr>
        <w:pStyle w:val="10"/>
        <w:keepNext w:val="0"/>
        <w:keepLines w:val="0"/>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绩效评价及标准</w:t>
      </w:r>
    </w:p>
    <w:p w14:paraId="3B4D3A62">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          考核时间：</w:t>
      </w:r>
    </w:p>
    <w:tbl>
      <w:tblPr>
        <w:tblStyle w:val="15"/>
        <w:tblW w:w="9742" w:type="dxa"/>
        <w:tblInd w:w="114" w:type="dxa"/>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27"/>
        <w:gridCol w:w="823"/>
        <w:gridCol w:w="1807"/>
        <w:gridCol w:w="4465"/>
        <w:gridCol w:w="576"/>
        <w:gridCol w:w="860"/>
        <w:gridCol w:w="574"/>
        <w:gridCol w:w="10"/>
      </w:tblGrid>
      <w:tr w14:paraId="7AC108B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trPr>
        <w:tc>
          <w:tcPr>
            <w:tcW w:w="627" w:type="dxa"/>
            <w:tcBorders>
              <w:tl2br w:val="nil"/>
              <w:tr2bl w:val="nil"/>
            </w:tcBorders>
            <w:shd w:val="clear" w:color="000000" w:fill="FFFFFF"/>
            <w:noWrap w:val="0"/>
            <w:vAlign w:val="center"/>
          </w:tcPr>
          <w:p w14:paraId="7DF8A42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序号</w:t>
            </w:r>
          </w:p>
        </w:tc>
        <w:tc>
          <w:tcPr>
            <w:tcW w:w="823" w:type="dxa"/>
            <w:tcBorders>
              <w:tl2br w:val="nil"/>
              <w:tr2bl w:val="nil"/>
            </w:tcBorders>
            <w:shd w:val="clear" w:color="000000" w:fill="FFFFFF"/>
            <w:noWrap w:val="0"/>
            <w:vAlign w:val="center"/>
          </w:tcPr>
          <w:p w14:paraId="01DD8EC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评价内容</w:t>
            </w:r>
          </w:p>
        </w:tc>
        <w:tc>
          <w:tcPr>
            <w:tcW w:w="6272" w:type="dxa"/>
            <w:gridSpan w:val="2"/>
            <w:tcBorders>
              <w:tl2br w:val="nil"/>
              <w:tr2bl w:val="nil"/>
            </w:tcBorders>
            <w:shd w:val="clear" w:color="000000" w:fill="FFFFFF"/>
            <w:noWrap w:val="0"/>
            <w:vAlign w:val="center"/>
          </w:tcPr>
          <w:p w14:paraId="736433F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b w:val="0"/>
                <w:bCs w:val="0"/>
                <w:sz w:val="24"/>
                <w:szCs w:val="24"/>
                <w:highlight w:val="none"/>
              </w:rPr>
              <w:t>绩效评价及标准</w:t>
            </w:r>
          </w:p>
        </w:tc>
        <w:tc>
          <w:tcPr>
            <w:tcW w:w="576" w:type="dxa"/>
            <w:tcBorders>
              <w:tl2br w:val="nil"/>
              <w:tr2bl w:val="nil"/>
            </w:tcBorders>
            <w:shd w:val="clear" w:color="000000" w:fill="FFFFFF"/>
            <w:noWrap w:val="0"/>
            <w:vAlign w:val="center"/>
          </w:tcPr>
          <w:p w14:paraId="1447EF4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分值</w:t>
            </w:r>
          </w:p>
        </w:tc>
        <w:tc>
          <w:tcPr>
            <w:tcW w:w="860" w:type="dxa"/>
            <w:tcBorders>
              <w:tl2br w:val="nil"/>
              <w:tr2bl w:val="nil"/>
            </w:tcBorders>
            <w:shd w:val="clear" w:color="000000" w:fill="FFFFFF"/>
            <w:noWrap w:val="0"/>
            <w:vAlign w:val="center"/>
          </w:tcPr>
          <w:p w14:paraId="427461E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评分细则</w:t>
            </w:r>
          </w:p>
        </w:tc>
        <w:tc>
          <w:tcPr>
            <w:tcW w:w="584" w:type="dxa"/>
            <w:gridSpan w:val="2"/>
            <w:tcBorders>
              <w:tl2br w:val="nil"/>
              <w:tr2bl w:val="nil"/>
            </w:tcBorders>
            <w:shd w:val="clear" w:color="000000" w:fill="FFFFFF"/>
            <w:noWrap w:val="0"/>
            <w:vAlign w:val="center"/>
          </w:tcPr>
          <w:p w14:paraId="53D03E7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扣分</w:t>
            </w:r>
          </w:p>
        </w:tc>
      </w:tr>
      <w:tr w14:paraId="001E4E4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restart"/>
            <w:tcBorders>
              <w:tl2br w:val="nil"/>
              <w:tr2bl w:val="nil"/>
            </w:tcBorders>
            <w:noWrap w:val="0"/>
            <w:vAlign w:val="center"/>
          </w:tcPr>
          <w:p w14:paraId="1685648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一</w:t>
            </w:r>
          </w:p>
        </w:tc>
        <w:tc>
          <w:tcPr>
            <w:tcW w:w="823" w:type="dxa"/>
            <w:vMerge w:val="restart"/>
            <w:tcBorders>
              <w:tl2br w:val="nil"/>
              <w:tr2bl w:val="nil"/>
            </w:tcBorders>
            <w:noWrap w:val="0"/>
            <w:vAlign w:val="center"/>
          </w:tcPr>
          <w:p w14:paraId="6E64042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人员要求</w:t>
            </w:r>
          </w:p>
        </w:tc>
        <w:tc>
          <w:tcPr>
            <w:tcW w:w="6272" w:type="dxa"/>
            <w:gridSpan w:val="2"/>
            <w:tcBorders>
              <w:tl2br w:val="nil"/>
              <w:tr2bl w:val="nil"/>
            </w:tcBorders>
            <w:noWrap w:val="0"/>
            <w:vAlign w:val="center"/>
          </w:tcPr>
          <w:p w14:paraId="2ADE6C17">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聘用保洁人员男性在50岁以下（含50岁），女性45岁以下（含45岁）</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无违法犯罪记录，身体健康情况良好，品行端正、无不良嗜好，工作积极主动，责任心强，有较强的组织纪律性</w:t>
            </w:r>
            <w:r>
              <w:rPr>
                <w:rFonts w:hint="eastAsia" w:ascii="宋体" w:hAnsi="宋体" w:eastAsia="宋体" w:cs="宋体"/>
                <w:b w:val="0"/>
                <w:bCs w:val="0"/>
                <w:sz w:val="24"/>
                <w:szCs w:val="24"/>
                <w:highlight w:val="none"/>
                <w:lang w:val="en-US" w:eastAsia="zh-CN"/>
              </w:rPr>
              <w:t>。</w:t>
            </w:r>
          </w:p>
        </w:tc>
        <w:tc>
          <w:tcPr>
            <w:tcW w:w="576" w:type="dxa"/>
            <w:tcBorders>
              <w:tl2br w:val="nil"/>
              <w:tr2bl w:val="nil"/>
            </w:tcBorders>
            <w:noWrap w:val="0"/>
            <w:vAlign w:val="center"/>
          </w:tcPr>
          <w:p w14:paraId="7668DA7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restart"/>
            <w:tcBorders>
              <w:tl2br w:val="nil"/>
              <w:tr2bl w:val="nil"/>
            </w:tcBorders>
            <w:noWrap w:val="0"/>
            <w:vAlign w:val="center"/>
          </w:tcPr>
          <w:p w14:paraId="6B9D55C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26B1C11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A30296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74A5AD1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252F05C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7070E58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服务</w:t>
            </w:r>
            <w:r>
              <w:rPr>
                <w:rFonts w:hint="eastAsia" w:ascii="宋体" w:hAnsi="宋体" w:eastAsia="宋体" w:cs="宋体"/>
                <w:sz w:val="24"/>
                <w:szCs w:val="24"/>
                <w:lang w:eastAsia="zh-CN"/>
              </w:rPr>
              <w:t>人员</w:t>
            </w:r>
            <w:r>
              <w:rPr>
                <w:rFonts w:hint="eastAsia" w:ascii="宋体" w:hAnsi="宋体" w:eastAsia="宋体" w:cs="宋体"/>
                <w:sz w:val="24"/>
                <w:szCs w:val="24"/>
              </w:rPr>
              <w:t>工作时要着统</w:t>
            </w:r>
            <w:r>
              <w:rPr>
                <w:rFonts w:hint="eastAsia" w:ascii="宋体" w:hAnsi="宋体" w:eastAsia="宋体" w:cs="宋体"/>
                <w:sz w:val="24"/>
                <w:szCs w:val="24"/>
                <w:lang w:val="en-US" w:eastAsia="zh-CN"/>
              </w:rPr>
              <w:t>一工作服，</w:t>
            </w:r>
            <w:r>
              <w:rPr>
                <w:rFonts w:hint="eastAsia" w:ascii="宋体" w:hAnsi="宋体" w:eastAsia="宋体" w:cs="宋体"/>
                <w:sz w:val="24"/>
                <w:szCs w:val="24"/>
              </w:rPr>
              <w:t>工作服要整洁,纽扣要扣齐,不允许敞开外衣,非工作需要不允许将衣袖、裤管卷起,不允许将衣服搭在肩上。</w:t>
            </w:r>
          </w:p>
        </w:tc>
        <w:tc>
          <w:tcPr>
            <w:tcW w:w="576" w:type="dxa"/>
            <w:tcBorders>
              <w:tl2br w:val="nil"/>
              <w:tr2bl w:val="nil"/>
            </w:tcBorders>
            <w:noWrap w:val="0"/>
            <w:vAlign w:val="center"/>
          </w:tcPr>
          <w:p w14:paraId="60EE5C4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477CC26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066FCA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1C44F501">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31F1F10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5E0124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A7F6F2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sz w:val="24"/>
                <w:szCs w:val="24"/>
              </w:rPr>
              <w:t>制服外衣衣袖、衣领不显露个人衣物,制服外不显露个人物品,服装衣袋不装过大过厚物品,袋内物品不外露。</w:t>
            </w:r>
          </w:p>
        </w:tc>
        <w:tc>
          <w:tcPr>
            <w:tcW w:w="576" w:type="dxa"/>
            <w:tcBorders>
              <w:tl2br w:val="nil"/>
              <w:tr2bl w:val="nil"/>
            </w:tcBorders>
            <w:noWrap w:val="0"/>
            <w:vAlign w:val="center"/>
          </w:tcPr>
          <w:p w14:paraId="67818DC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029A527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168DC9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0B1F6A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69E98B9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35F3C5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FD2FC4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鞋袜穿戴整齐并保持清洁,鞋带系好,非工作需要不允许打赤脚或穿雨鞋到处走。</w:t>
            </w:r>
          </w:p>
        </w:tc>
        <w:tc>
          <w:tcPr>
            <w:tcW w:w="576" w:type="dxa"/>
            <w:tcBorders>
              <w:tl2br w:val="nil"/>
              <w:tr2bl w:val="nil"/>
            </w:tcBorders>
            <w:noWrap w:val="0"/>
            <w:vAlign w:val="center"/>
          </w:tcPr>
          <w:p w14:paraId="65F27A8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5878F1F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0977EC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84BC1A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627" w:type="dxa"/>
            <w:vMerge w:val="continue"/>
            <w:tcBorders>
              <w:tl2br w:val="nil"/>
              <w:tr2bl w:val="nil"/>
            </w:tcBorders>
            <w:noWrap w:val="0"/>
            <w:vAlign w:val="center"/>
          </w:tcPr>
          <w:p w14:paraId="0AE41E6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582A6D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67ECEC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sz w:val="24"/>
                <w:szCs w:val="24"/>
              </w:rPr>
              <w:t>不允许穿背心、短裤、拖鞋。</w:t>
            </w:r>
          </w:p>
        </w:tc>
        <w:tc>
          <w:tcPr>
            <w:tcW w:w="576" w:type="dxa"/>
            <w:tcBorders>
              <w:tl2br w:val="nil"/>
              <w:tr2bl w:val="nil"/>
            </w:tcBorders>
            <w:noWrap w:val="0"/>
            <w:vAlign w:val="center"/>
          </w:tcPr>
          <w:p w14:paraId="6DDD42E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7F4EE18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0BD90D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28DC789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7C04BB5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D59E2D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F9FA42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sz w:val="24"/>
                <w:szCs w:val="24"/>
              </w:rPr>
              <w:t>男女员工均不允许戴有色眼镜,不佩戴多余首饰。</w:t>
            </w:r>
          </w:p>
        </w:tc>
        <w:tc>
          <w:tcPr>
            <w:tcW w:w="576" w:type="dxa"/>
            <w:tcBorders>
              <w:tl2br w:val="nil"/>
              <w:tr2bl w:val="nil"/>
            </w:tcBorders>
            <w:noWrap w:val="0"/>
            <w:vAlign w:val="center"/>
          </w:tcPr>
          <w:p w14:paraId="1BB53AC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34B6A88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CEA428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7484DCC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0B7DF0A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0E4A7F7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4AB75DE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sz w:val="24"/>
                <w:szCs w:val="24"/>
              </w:rPr>
              <w:t>女员工前发不遮眼,不披发,不梳怪异发型。</w:t>
            </w:r>
          </w:p>
        </w:tc>
        <w:tc>
          <w:tcPr>
            <w:tcW w:w="576" w:type="dxa"/>
            <w:tcBorders>
              <w:tl2br w:val="nil"/>
              <w:tr2bl w:val="nil"/>
            </w:tcBorders>
            <w:noWrap w:val="0"/>
            <w:vAlign w:val="center"/>
          </w:tcPr>
          <w:p w14:paraId="679439D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6D14B3A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2472F1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56DE917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4" w:hRule="atLeast"/>
        </w:trPr>
        <w:tc>
          <w:tcPr>
            <w:tcW w:w="627" w:type="dxa"/>
            <w:vMerge w:val="continue"/>
            <w:tcBorders>
              <w:tl2br w:val="nil"/>
              <w:tr2bl w:val="nil"/>
            </w:tcBorders>
            <w:noWrap w:val="0"/>
            <w:vAlign w:val="center"/>
          </w:tcPr>
          <w:p w14:paraId="4EB94F2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016E1E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EBC7F1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sz w:val="24"/>
                <w:szCs w:val="24"/>
              </w:rPr>
              <w:t>男员工后发根不遮领,不盖耳,不留胡须,不梳怪异发型。</w:t>
            </w:r>
          </w:p>
        </w:tc>
        <w:tc>
          <w:tcPr>
            <w:tcW w:w="576" w:type="dxa"/>
            <w:tcBorders>
              <w:tl2br w:val="nil"/>
              <w:tr2bl w:val="nil"/>
            </w:tcBorders>
            <w:noWrap w:val="0"/>
            <w:vAlign w:val="center"/>
          </w:tcPr>
          <w:p w14:paraId="6CCC5E5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3A74EB1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B39DE0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175F02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27D3FE0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DE88A0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8261C3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w:t>
            </w:r>
            <w:r>
              <w:rPr>
                <w:rFonts w:hint="eastAsia" w:ascii="宋体" w:hAnsi="宋体" w:eastAsia="宋体" w:cs="宋体"/>
                <w:sz w:val="24"/>
                <w:szCs w:val="24"/>
              </w:rPr>
              <w:t>男女员工不允许剃光头。</w:t>
            </w:r>
          </w:p>
        </w:tc>
        <w:tc>
          <w:tcPr>
            <w:tcW w:w="576" w:type="dxa"/>
            <w:tcBorders>
              <w:tl2br w:val="nil"/>
              <w:tr2bl w:val="nil"/>
            </w:tcBorders>
            <w:noWrap w:val="0"/>
            <w:vAlign w:val="center"/>
          </w:tcPr>
          <w:p w14:paraId="64B53F8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34F9161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621713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AF9C65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2191B51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1738A48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1CF261F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w:t>
            </w:r>
            <w:r>
              <w:rPr>
                <w:rFonts w:hint="eastAsia" w:ascii="宋体" w:hAnsi="宋体" w:eastAsia="宋体" w:cs="宋体"/>
                <w:sz w:val="24"/>
                <w:szCs w:val="24"/>
              </w:rPr>
              <w:t>保持手部干净,指甲不允许超过指头两毫米,指甲不允许残留污物,不涂有色指甲油。</w:t>
            </w:r>
          </w:p>
        </w:tc>
        <w:tc>
          <w:tcPr>
            <w:tcW w:w="576" w:type="dxa"/>
            <w:tcBorders>
              <w:tl2br w:val="nil"/>
              <w:tr2bl w:val="nil"/>
            </w:tcBorders>
            <w:noWrap w:val="0"/>
            <w:vAlign w:val="center"/>
          </w:tcPr>
          <w:p w14:paraId="6E9E560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54211FA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A4F76D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752BE0C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61101DC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CBE65F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9246D3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w:t>
            </w:r>
            <w:r>
              <w:rPr>
                <w:rFonts w:hint="eastAsia" w:ascii="宋体" w:hAnsi="宋体" w:eastAsia="宋体" w:cs="宋体"/>
                <w:sz w:val="24"/>
                <w:szCs w:val="24"/>
              </w:rPr>
              <w:t>员工应经常洗澡防汗臭,勤换衣服。衣服因工作而弄湿、弄脏后应及时换洗。</w:t>
            </w:r>
          </w:p>
        </w:tc>
        <w:tc>
          <w:tcPr>
            <w:tcW w:w="576" w:type="dxa"/>
            <w:tcBorders>
              <w:tl2br w:val="nil"/>
              <w:tr2bl w:val="nil"/>
            </w:tcBorders>
            <w:noWrap w:val="0"/>
            <w:vAlign w:val="center"/>
          </w:tcPr>
          <w:p w14:paraId="3A24A67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03DC874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2F374E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6F34ED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6D7C597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B9094C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469EE1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w:t>
            </w:r>
            <w:r>
              <w:rPr>
                <w:rFonts w:hint="eastAsia" w:ascii="宋体" w:hAnsi="宋体" w:eastAsia="宋体" w:cs="宋体"/>
                <w:sz w:val="24"/>
                <w:szCs w:val="24"/>
              </w:rPr>
              <w:t>上班前不允许吃异味食品,保持口腔清洁,口气清新。</w:t>
            </w:r>
          </w:p>
        </w:tc>
        <w:tc>
          <w:tcPr>
            <w:tcW w:w="576" w:type="dxa"/>
            <w:tcBorders>
              <w:tl2br w:val="nil"/>
              <w:tr2bl w:val="nil"/>
            </w:tcBorders>
            <w:noWrap w:val="0"/>
            <w:vAlign w:val="center"/>
          </w:tcPr>
          <w:p w14:paraId="0E442A7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0F129C0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48347C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181705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2D095E4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3F7A52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F2990A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13.</w:t>
            </w:r>
            <w:r>
              <w:rPr>
                <w:rFonts w:hint="eastAsia" w:ascii="宋体" w:hAnsi="宋体" w:eastAsia="宋体" w:cs="宋体"/>
                <w:sz w:val="24"/>
                <w:szCs w:val="24"/>
              </w:rPr>
              <w:t>女员工不允许浓妆艳抹,避免使用味浓的</w:t>
            </w:r>
            <w:r>
              <w:rPr>
                <w:rFonts w:hint="eastAsia" w:ascii="宋体" w:hAnsi="宋体" w:eastAsia="宋体" w:cs="宋体"/>
                <w:sz w:val="24"/>
                <w:szCs w:val="24"/>
                <w:lang w:val="en-US" w:eastAsia="zh-CN"/>
              </w:rPr>
              <w:t>化妆</w:t>
            </w:r>
            <w:r>
              <w:rPr>
                <w:rFonts w:hint="eastAsia" w:ascii="宋体" w:hAnsi="宋体" w:eastAsia="宋体" w:cs="宋体"/>
                <w:sz w:val="24"/>
                <w:szCs w:val="24"/>
              </w:rPr>
              <w:t>品。</w:t>
            </w:r>
          </w:p>
        </w:tc>
        <w:tc>
          <w:tcPr>
            <w:tcW w:w="576" w:type="dxa"/>
            <w:tcBorders>
              <w:tl2br w:val="nil"/>
              <w:tr2bl w:val="nil"/>
            </w:tcBorders>
            <w:noWrap w:val="0"/>
            <w:vAlign w:val="center"/>
          </w:tcPr>
          <w:p w14:paraId="1702D3B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106C7CD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016824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97A5D5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1D432E8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418670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04ED88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14.</w:t>
            </w:r>
            <w:r>
              <w:rPr>
                <w:rFonts w:hint="eastAsia" w:ascii="宋体" w:hAnsi="宋体" w:eastAsia="宋体" w:cs="宋体"/>
                <w:sz w:val="24"/>
                <w:szCs w:val="24"/>
              </w:rPr>
              <w:t>每天上班前应注意检查自己的仪表,上班时不能</w:t>
            </w:r>
            <w:r>
              <w:rPr>
                <w:rFonts w:hint="eastAsia" w:ascii="宋体" w:hAnsi="宋体" w:eastAsia="宋体" w:cs="宋体"/>
                <w:sz w:val="24"/>
                <w:szCs w:val="24"/>
                <w:lang w:val="en-US" w:eastAsia="zh-CN"/>
              </w:rPr>
              <w:t>客户</w:t>
            </w:r>
            <w:r>
              <w:rPr>
                <w:rFonts w:hint="eastAsia" w:ascii="宋体" w:hAnsi="宋体" w:eastAsia="宋体" w:cs="宋体"/>
                <w:sz w:val="24"/>
                <w:szCs w:val="24"/>
              </w:rPr>
              <w:t>面前或公共场所整理仪容仪表,必要时应到卫生间或工作间整理。</w:t>
            </w:r>
          </w:p>
        </w:tc>
        <w:tc>
          <w:tcPr>
            <w:tcW w:w="576" w:type="dxa"/>
            <w:tcBorders>
              <w:tl2br w:val="nil"/>
              <w:tr2bl w:val="nil"/>
            </w:tcBorders>
            <w:noWrap w:val="0"/>
            <w:vAlign w:val="center"/>
          </w:tcPr>
          <w:p w14:paraId="784B335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445AC67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1AC3FB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206F7D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3BD54E6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877A98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5A30DA0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15.工作期间不准袖手、背手、或将手插入衣袋。不准搭肩、挽臂、边走边吸烟、吃东西、扇扇子、嬉笑打闹。不准随地吐痰、乱扔废物。</w:t>
            </w:r>
          </w:p>
        </w:tc>
        <w:tc>
          <w:tcPr>
            <w:tcW w:w="576" w:type="dxa"/>
            <w:tcBorders>
              <w:tl2br w:val="nil"/>
              <w:tr2bl w:val="nil"/>
            </w:tcBorders>
            <w:noWrap w:val="0"/>
            <w:vAlign w:val="center"/>
          </w:tcPr>
          <w:p w14:paraId="4B71BFF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373738E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BB5F9F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1B48E5B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416B687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7BC375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159C1A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16.工作期间严禁饮酒。</w:t>
            </w:r>
          </w:p>
        </w:tc>
        <w:tc>
          <w:tcPr>
            <w:tcW w:w="576" w:type="dxa"/>
            <w:tcBorders>
              <w:tl2br w:val="nil"/>
              <w:tr2bl w:val="nil"/>
            </w:tcBorders>
            <w:noWrap w:val="0"/>
            <w:vAlign w:val="center"/>
          </w:tcPr>
          <w:p w14:paraId="7EEC58D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4B12DEB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058F53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744DDE9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6ED9034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963357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1D8938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17.</w:t>
            </w:r>
            <w:r>
              <w:rPr>
                <w:rFonts w:hint="eastAsia" w:ascii="宋体" w:hAnsi="宋体" w:eastAsia="宋体" w:cs="宋体"/>
                <w:sz w:val="24"/>
                <w:szCs w:val="24"/>
              </w:rPr>
              <w:t>在楼层进行工作时,不允许乱翻,不允许拿</w:t>
            </w:r>
            <w:r>
              <w:rPr>
                <w:rFonts w:hint="eastAsia" w:ascii="宋体" w:hAnsi="宋体" w:eastAsia="宋体" w:cs="宋体"/>
                <w:sz w:val="24"/>
                <w:szCs w:val="24"/>
                <w:lang w:val="en-US" w:eastAsia="zh-CN"/>
              </w:rPr>
              <w:t>客户</w:t>
            </w:r>
            <w:r>
              <w:rPr>
                <w:rFonts w:hint="eastAsia" w:ascii="宋体" w:hAnsi="宋体" w:eastAsia="宋体" w:cs="宋体"/>
                <w:sz w:val="24"/>
                <w:szCs w:val="24"/>
              </w:rPr>
              <w:t>的东西、礼物。</w:t>
            </w:r>
          </w:p>
        </w:tc>
        <w:tc>
          <w:tcPr>
            <w:tcW w:w="576" w:type="dxa"/>
            <w:tcBorders>
              <w:tl2br w:val="nil"/>
              <w:tr2bl w:val="nil"/>
            </w:tcBorders>
            <w:noWrap w:val="0"/>
            <w:vAlign w:val="center"/>
          </w:tcPr>
          <w:p w14:paraId="6C4E1DD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7497F2C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DFF9AE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EAE243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 w:hRule="atLeast"/>
        </w:trPr>
        <w:tc>
          <w:tcPr>
            <w:tcW w:w="627" w:type="dxa"/>
            <w:vMerge w:val="continue"/>
            <w:tcBorders>
              <w:tl2br w:val="nil"/>
              <w:tr2bl w:val="nil"/>
            </w:tcBorders>
            <w:noWrap w:val="0"/>
            <w:vAlign w:val="center"/>
          </w:tcPr>
          <w:p w14:paraId="58B2AF3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6F547C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5F71B6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18.</w:t>
            </w:r>
            <w:r>
              <w:rPr>
                <w:rFonts w:hint="eastAsia" w:ascii="宋体" w:hAnsi="宋体" w:eastAsia="宋体" w:cs="宋体"/>
                <w:sz w:val="24"/>
                <w:szCs w:val="24"/>
              </w:rPr>
              <w:t>对业主的称呼：男性称呼</w:t>
            </w:r>
            <w:r>
              <w:rPr>
                <w:rFonts w:hint="eastAsia" w:ascii="宋体" w:hAnsi="宋体" w:eastAsia="宋体" w:cs="宋体"/>
                <w:sz w:val="24"/>
                <w:szCs w:val="24"/>
                <w:lang w:eastAsia="zh-CN"/>
              </w:rPr>
              <w:t>“</w:t>
            </w:r>
            <w:r>
              <w:rPr>
                <w:rFonts w:hint="eastAsia" w:ascii="宋体" w:hAnsi="宋体" w:eastAsia="宋体" w:cs="宋体"/>
                <w:sz w:val="24"/>
                <w:szCs w:val="24"/>
              </w:rPr>
              <w:t>先生</w:t>
            </w:r>
            <w:r>
              <w:rPr>
                <w:rFonts w:hint="eastAsia" w:ascii="宋体" w:hAnsi="宋体" w:eastAsia="宋体" w:cs="宋体"/>
                <w:sz w:val="24"/>
                <w:szCs w:val="24"/>
                <w:lang w:eastAsia="zh-CN"/>
              </w:rPr>
              <w:t>”</w:t>
            </w:r>
            <w:r>
              <w:rPr>
                <w:rFonts w:hint="eastAsia" w:ascii="宋体" w:hAnsi="宋体" w:eastAsia="宋体" w:cs="宋体"/>
                <w:sz w:val="24"/>
                <w:szCs w:val="24"/>
              </w:rPr>
              <w:t>、女性称呼</w:t>
            </w:r>
            <w:r>
              <w:rPr>
                <w:rFonts w:hint="eastAsia" w:ascii="宋体" w:hAnsi="宋体" w:eastAsia="宋体" w:cs="宋体"/>
                <w:sz w:val="24"/>
                <w:szCs w:val="24"/>
                <w:lang w:eastAsia="zh-CN"/>
              </w:rPr>
              <w:t>“</w:t>
            </w:r>
            <w:r>
              <w:rPr>
                <w:rFonts w:hint="eastAsia" w:ascii="宋体" w:hAnsi="宋体" w:eastAsia="宋体" w:cs="宋体"/>
                <w:sz w:val="24"/>
                <w:szCs w:val="24"/>
              </w:rPr>
              <w:t>女士</w:t>
            </w:r>
            <w:r>
              <w:rPr>
                <w:rFonts w:hint="eastAsia" w:ascii="宋体" w:hAnsi="宋体" w:eastAsia="宋体" w:cs="宋体"/>
                <w:sz w:val="24"/>
                <w:szCs w:val="24"/>
                <w:lang w:eastAsia="zh-CN"/>
              </w:rPr>
              <w:t>”</w:t>
            </w:r>
            <w:r>
              <w:rPr>
                <w:rFonts w:hint="eastAsia" w:ascii="宋体" w:hAnsi="宋体" w:eastAsia="宋体" w:cs="宋体"/>
                <w:sz w:val="24"/>
                <w:szCs w:val="24"/>
              </w:rPr>
              <w:t>；老年人称呼按地方习惯；对儿童可称呼为</w:t>
            </w:r>
            <w:r>
              <w:rPr>
                <w:rFonts w:hint="eastAsia" w:ascii="宋体" w:hAnsi="宋体" w:eastAsia="宋体" w:cs="宋体"/>
                <w:sz w:val="24"/>
                <w:szCs w:val="24"/>
                <w:lang w:eastAsia="zh-CN"/>
              </w:rPr>
              <w:t>“</w:t>
            </w:r>
            <w:r>
              <w:rPr>
                <w:rFonts w:hint="eastAsia" w:ascii="宋体" w:hAnsi="宋体" w:eastAsia="宋体" w:cs="宋体"/>
                <w:sz w:val="24"/>
                <w:szCs w:val="24"/>
              </w:rPr>
              <w:t>小朋友</w:t>
            </w:r>
            <w:r>
              <w:rPr>
                <w:rFonts w:hint="eastAsia" w:ascii="宋体" w:hAnsi="宋体" w:eastAsia="宋体" w:cs="宋体"/>
                <w:sz w:val="24"/>
                <w:szCs w:val="24"/>
                <w:lang w:eastAsia="zh-CN"/>
              </w:rPr>
              <w:t>”</w:t>
            </w:r>
            <w:r>
              <w:rPr>
                <w:rFonts w:hint="eastAsia" w:ascii="宋体" w:hAnsi="宋体" w:eastAsia="宋体" w:cs="宋体"/>
                <w:sz w:val="24"/>
                <w:szCs w:val="24"/>
              </w:rPr>
              <w:t>；注意不宜称呼业主的全名。</w:t>
            </w:r>
          </w:p>
        </w:tc>
        <w:tc>
          <w:tcPr>
            <w:tcW w:w="576" w:type="dxa"/>
            <w:tcBorders>
              <w:tl2br w:val="nil"/>
              <w:tr2bl w:val="nil"/>
            </w:tcBorders>
            <w:noWrap w:val="0"/>
            <w:vAlign w:val="center"/>
          </w:tcPr>
          <w:p w14:paraId="496AB3D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6D4E356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7B0B51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7999502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4" w:hRule="atLeast"/>
        </w:trPr>
        <w:tc>
          <w:tcPr>
            <w:tcW w:w="627" w:type="dxa"/>
            <w:vMerge w:val="restart"/>
            <w:tcBorders>
              <w:tl2br w:val="nil"/>
              <w:tr2bl w:val="nil"/>
            </w:tcBorders>
            <w:noWrap w:val="0"/>
            <w:vAlign w:val="center"/>
          </w:tcPr>
          <w:p w14:paraId="676265C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二</w:t>
            </w:r>
          </w:p>
        </w:tc>
        <w:tc>
          <w:tcPr>
            <w:tcW w:w="823" w:type="dxa"/>
            <w:vMerge w:val="restart"/>
            <w:tcBorders>
              <w:tl2br w:val="nil"/>
              <w:tr2bl w:val="nil"/>
            </w:tcBorders>
            <w:noWrap w:val="0"/>
            <w:vAlign w:val="center"/>
          </w:tcPr>
          <w:p w14:paraId="3C7A5D9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岗位要求</w:t>
            </w:r>
          </w:p>
        </w:tc>
        <w:tc>
          <w:tcPr>
            <w:tcW w:w="6272" w:type="dxa"/>
            <w:gridSpan w:val="2"/>
            <w:tcBorders>
              <w:tl2br w:val="nil"/>
              <w:tr2bl w:val="nil"/>
            </w:tcBorders>
            <w:noWrap w:val="0"/>
            <w:vAlign w:val="center"/>
          </w:tcPr>
          <w:p w14:paraId="4CE25E0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bidi="ar-SA"/>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熟知岗位职责、能掌握应知应会</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4074E84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860" w:type="dxa"/>
            <w:vMerge w:val="restart"/>
            <w:tcBorders>
              <w:tl2br w:val="nil"/>
              <w:tr2bl w:val="nil"/>
            </w:tcBorders>
            <w:noWrap w:val="0"/>
            <w:vAlign w:val="center"/>
          </w:tcPr>
          <w:p w14:paraId="246FB84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0B51898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p>
        </w:tc>
      </w:tr>
      <w:tr w14:paraId="3B85DC1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39" w:hRule="atLeast"/>
        </w:trPr>
        <w:tc>
          <w:tcPr>
            <w:tcW w:w="627" w:type="dxa"/>
            <w:vMerge w:val="continue"/>
            <w:tcBorders>
              <w:tl2br w:val="nil"/>
              <w:tr2bl w:val="nil"/>
            </w:tcBorders>
            <w:noWrap w:val="0"/>
            <w:vAlign w:val="center"/>
          </w:tcPr>
          <w:p w14:paraId="754E871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2FF9239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11C04B5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2.在工作中使用语言要简洁准确、文明规范、接触客户时说话要和气，应使用“您好”、“请”、“您”、“谢谢”、“对不起”、“再见”等文明礼貌用语。</w:t>
            </w:r>
          </w:p>
        </w:tc>
        <w:tc>
          <w:tcPr>
            <w:tcW w:w="576" w:type="dxa"/>
            <w:tcBorders>
              <w:tl2br w:val="nil"/>
              <w:tr2bl w:val="nil"/>
            </w:tcBorders>
            <w:noWrap w:val="0"/>
            <w:vAlign w:val="center"/>
          </w:tcPr>
          <w:p w14:paraId="79D0D3B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2A72623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1966B9F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1207F51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restart"/>
            <w:tcBorders>
              <w:tl2br w:val="nil"/>
              <w:tr2bl w:val="nil"/>
            </w:tcBorders>
            <w:noWrap w:val="0"/>
            <w:vAlign w:val="center"/>
          </w:tcPr>
          <w:p w14:paraId="361B05C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三</w:t>
            </w:r>
          </w:p>
        </w:tc>
        <w:tc>
          <w:tcPr>
            <w:tcW w:w="823" w:type="dxa"/>
            <w:vMerge w:val="restart"/>
            <w:tcBorders>
              <w:tl2br w:val="nil"/>
              <w:tr2bl w:val="nil"/>
            </w:tcBorders>
            <w:noWrap w:val="0"/>
            <w:vAlign w:val="center"/>
          </w:tcPr>
          <w:p w14:paraId="181A713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大厅、楼内公共通道</w:t>
            </w:r>
          </w:p>
        </w:tc>
        <w:tc>
          <w:tcPr>
            <w:tcW w:w="6272" w:type="dxa"/>
            <w:gridSpan w:val="2"/>
            <w:tcBorders>
              <w:tl2br w:val="nil"/>
              <w:tr2bl w:val="nil"/>
            </w:tcBorders>
            <w:noWrap w:val="0"/>
            <w:vAlign w:val="center"/>
          </w:tcPr>
          <w:p w14:paraId="2EEA6E55">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大厅地面保持干净、无水渍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4E24D5D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860" w:type="dxa"/>
            <w:vMerge w:val="restart"/>
            <w:tcBorders>
              <w:tl2br w:val="nil"/>
              <w:tr2bl w:val="nil"/>
            </w:tcBorders>
            <w:noWrap w:val="0"/>
            <w:vAlign w:val="center"/>
          </w:tcPr>
          <w:p w14:paraId="53BF3DD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1EDA227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p>
        </w:tc>
      </w:tr>
      <w:tr w14:paraId="258D8143">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25D117D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1175236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100BDE9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定期养护大理石、花岗石等材质</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3F2EF44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2A24001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8D83C1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AE70B8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2002643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122A3A9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611A04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进出口地垫整洁</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2F4FE34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7D3DE77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ED0F33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29109F1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6AD1773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6738CF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5558EC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公共通道的门框、窗框、窗台、金属件表面光亮、无尘、无污渍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C65344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647151A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64ABEB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1514C1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24F0BC6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52D73C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A3F36C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门窗玻璃干净、无尘，透光性好</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604C6C3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7861265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31C84A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7A38FAA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32AA23F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B5F59A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B5E1E7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天花板无蛛网；灯具干净、无积尘</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4A9B0FE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3A3A0F1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A60CA2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F43158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433D82D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238698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858B41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空调风口干净、无污迹</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AA59907">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475D590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4FE119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C9903B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0" w:hRule="atLeast"/>
        </w:trPr>
        <w:tc>
          <w:tcPr>
            <w:tcW w:w="627" w:type="dxa"/>
            <w:vMerge w:val="continue"/>
            <w:tcBorders>
              <w:tl2br w:val="nil"/>
              <w:tr2bl w:val="nil"/>
            </w:tcBorders>
            <w:noWrap w:val="0"/>
            <w:vAlign w:val="center"/>
          </w:tcPr>
          <w:p w14:paraId="0F76C1A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88CEEB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1FC6F5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w:t>
            </w:r>
            <w:r>
              <w:rPr>
                <w:rFonts w:hint="eastAsia" w:ascii="宋体" w:hAnsi="宋体" w:eastAsia="宋体" w:cs="宋体"/>
                <w:b w:val="0"/>
                <w:bCs w:val="0"/>
                <w:sz w:val="24"/>
                <w:szCs w:val="24"/>
                <w:highlight w:val="none"/>
              </w:rPr>
              <w:t>指示牌干净、无污渍，指示醒目。</w:t>
            </w:r>
          </w:p>
        </w:tc>
        <w:tc>
          <w:tcPr>
            <w:tcW w:w="576" w:type="dxa"/>
            <w:tcBorders>
              <w:tl2br w:val="nil"/>
              <w:tr2bl w:val="nil"/>
            </w:tcBorders>
            <w:noWrap w:val="0"/>
            <w:vAlign w:val="center"/>
          </w:tcPr>
          <w:p w14:paraId="4E38E46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40D66FB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B391D7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29B1B9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627" w:type="dxa"/>
            <w:vMerge w:val="restart"/>
            <w:tcBorders>
              <w:tl2br w:val="nil"/>
              <w:tr2bl w:val="nil"/>
            </w:tcBorders>
            <w:noWrap w:val="0"/>
            <w:vAlign w:val="center"/>
          </w:tcPr>
          <w:p w14:paraId="50CF014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四</w:t>
            </w:r>
          </w:p>
        </w:tc>
        <w:tc>
          <w:tcPr>
            <w:tcW w:w="823" w:type="dxa"/>
            <w:vMerge w:val="restart"/>
            <w:tcBorders>
              <w:tl2br w:val="nil"/>
              <w:tr2bl w:val="nil"/>
            </w:tcBorders>
            <w:noWrap w:val="0"/>
            <w:vAlign w:val="center"/>
          </w:tcPr>
          <w:p w14:paraId="6DE51A1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楼梯及楼梯间</w:t>
            </w:r>
          </w:p>
        </w:tc>
        <w:tc>
          <w:tcPr>
            <w:tcW w:w="6272" w:type="dxa"/>
            <w:gridSpan w:val="2"/>
            <w:tcBorders>
              <w:tl2br w:val="nil"/>
              <w:tr2bl w:val="nil"/>
            </w:tcBorders>
            <w:noWrap w:val="0"/>
            <w:vAlign w:val="center"/>
          </w:tcPr>
          <w:p w14:paraId="07DAA71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梯步、扶手栏杆、防火门及闭门器表面干净、无尘、无污渍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E3A9EA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860" w:type="dxa"/>
            <w:vMerge w:val="restart"/>
            <w:tcBorders>
              <w:tl2br w:val="nil"/>
              <w:tr2bl w:val="nil"/>
            </w:tcBorders>
            <w:noWrap w:val="0"/>
            <w:vAlign w:val="center"/>
          </w:tcPr>
          <w:p w14:paraId="3F481E7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p>
        </w:tc>
        <w:tc>
          <w:tcPr>
            <w:tcW w:w="584" w:type="dxa"/>
            <w:gridSpan w:val="2"/>
            <w:tcBorders>
              <w:tl2br w:val="nil"/>
              <w:tr2bl w:val="nil"/>
            </w:tcBorders>
            <w:noWrap w:val="0"/>
            <w:vAlign w:val="center"/>
          </w:tcPr>
          <w:p w14:paraId="2F9E18A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p>
        </w:tc>
      </w:tr>
      <w:tr w14:paraId="7C43735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trPr>
        <w:tc>
          <w:tcPr>
            <w:tcW w:w="627" w:type="dxa"/>
            <w:vMerge w:val="continue"/>
            <w:tcBorders>
              <w:tl2br w:val="nil"/>
              <w:tr2bl w:val="nil"/>
            </w:tcBorders>
            <w:noWrap w:val="0"/>
            <w:vAlign w:val="center"/>
          </w:tcPr>
          <w:p w14:paraId="60E33ED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3267168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79461D6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防滑条（缝）干净；墙面、天花板无积尘、无蛛网。</w:t>
            </w:r>
          </w:p>
        </w:tc>
        <w:tc>
          <w:tcPr>
            <w:tcW w:w="576" w:type="dxa"/>
            <w:tcBorders>
              <w:tl2br w:val="nil"/>
              <w:tr2bl w:val="nil"/>
            </w:tcBorders>
            <w:noWrap w:val="0"/>
            <w:vAlign w:val="center"/>
          </w:tcPr>
          <w:p w14:paraId="466D1F9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506C5F2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B1C7F7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283F974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0" w:hRule="atLeast"/>
        </w:trPr>
        <w:tc>
          <w:tcPr>
            <w:tcW w:w="627" w:type="dxa"/>
            <w:vMerge w:val="restart"/>
            <w:tcBorders>
              <w:tl2br w:val="nil"/>
              <w:tr2bl w:val="nil"/>
            </w:tcBorders>
            <w:noWrap w:val="0"/>
            <w:vAlign w:val="center"/>
          </w:tcPr>
          <w:p w14:paraId="0B217F1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五</w:t>
            </w:r>
          </w:p>
        </w:tc>
        <w:tc>
          <w:tcPr>
            <w:tcW w:w="823" w:type="dxa"/>
            <w:vMerge w:val="restart"/>
            <w:tcBorders>
              <w:tl2br w:val="nil"/>
              <w:tr2bl w:val="nil"/>
            </w:tcBorders>
            <w:noWrap w:val="0"/>
            <w:vAlign w:val="center"/>
          </w:tcPr>
          <w:p w14:paraId="7B343C8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开水间及清洁间</w:t>
            </w:r>
          </w:p>
        </w:tc>
        <w:tc>
          <w:tcPr>
            <w:tcW w:w="6272" w:type="dxa"/>
            <w:gridSpan w:val="2"/>
            <w:tcBorders>
              <w:tl2br w:val="nil"/>
              <w:tr2bl w:val="nil"/>
            </w:tcBorders>
            <w:noWrap w:val="0"/>
            <w:vAlign w:val="center"/>
          </w:tcPr>
          <w:p w14:paraId="55530490">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地面干净、无杂物、无积水</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055A2F4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860" w:type="dxa"/>
            <w:vMerge w:val="restart"/>
            <w:tcBorders>
              <w:tl2br w:val="nil"/>
              <w:tr2bl w:val="nil"/>
            </w:tcBorders>
            <w:noWrap w:val="0"/>
            <w:vAlign w:val="center"/>
          </w:tcPr>
          <w:p w14:paraId="37AE5FA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03FDA01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val="en-US" w:eastAsia="zh-CN"/>
              </w:rPr>
            </w:pPr>
          </w:p>
        </w:tc>
      </w:tr>
      <w:tr w14:paraId="7D4CBB0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0" w:hRule="atLeast"/>
        </w:trPr>
        <w:tc>
          <w:tcPr>
            <w:tcW w:w="627" w:type="dxa"/>
            <w:vMerge w:val="continue"/>
            <w:tcBorders>
              <w:tl2br w:val="nil"/>
              <w:tr2bl w:val="nil"/>
            </w:tcBorders>
            <w:noWrap w:val="0"/>
            <w:vAlign w:val="center"/>
          </w:tcPr>
          <w:p w14:paraId="6D7EC79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7805111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1B2489F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天花板无蛛网</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A6163B9">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0702032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50AA56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4CE99A6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2" w:hRule="atLeast"/>
        </w:trPr>
        <w:tc>
          <w:tcPr>
            <w:tcW w:w="627" w:type="dxa"/>
            <w:vMerge w:val="continue"/>
            <w:tcBorders>
              <w:tl2br w:val="nil"/>
              <w:tr2bl w:val="nil"/>
            </w:tcBorders>
            <w:noWrap w:val="0"/>
            <w:vAlign w:val="center"/>
          </w:tcPr>
          <w:p w14:paraId="4021A3B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C4B81B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67130EC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灯罩表面无积尘</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4B4528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39AE330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973015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77ADF4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0" w:hRule="atLeast"/>
        </w:trPr>
        <w:tc>
          <w:tcPr>
            <w:tcW w:w="627" w:type="dxa"/>
            <w:vMerge w:val="continue"/>
            <w:tcBorders>
              <w:tl2br w:val="nil"/>
              <w:tr2bl w:val="nil"/>
            </w:tcBorders>
            <w:noWrap w:val="0"/>
            <w:vAlign w:val="center"/>
          </w:tcPr>
          <w:p w14:paraId="304A24C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3105B1A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D9AA7A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墙面干净、无污渍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802767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249B9AC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E3F6C5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29011E8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8" w:hRule="atLeast"/>
        </w:trPr>
        <w:tc>
          <w:tcPr>
            <w:tcW w:w="627" w:type="dxa"/>
            <w:vMerge w:val="continue"/>
            <w:tcBorders>
              <w:tl2br w:val="nil"/>
              <w:tr2bl w:val="nil"/>
            </w:tcBorders>
            <w:noWrap w:val="0"/>
            <w:vAlign w:val="center"/>
          </w:tcPr>
          <w:p w14:paraId="5C30D7B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E9E1F9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748FE1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各种物品表面干净、无渍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01D15AE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367B536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BAAA9A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FE6EE1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4" w:hRule="atLeast"/>
        </w:trPr>
        <w:tc>
          <w:tcPr>
            <w:tcW w:w="627" w:type="dxa"/>
            <w:vMerge w:val="continue"/>
            <w:tcBorders>
              <w:tl2br w:val="nil"/>
              <w:tr2bl w:val="nil"/>
            </w:tcBorders>
            <w:noWrap w:val="0"/>
            <w:vAlign w:val="center"/>
          </w:tcPr>
          <w:p w14:paraId="3902610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0C03EB3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8CC757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清洁工具摆放整齐有序。</w:t>
            </w:r>
          </w:p>
        </w:tc>
        <w:tc>
          <w:tcPr>
            <w:tcW w:w="576" w:type="dxa"/>
            <w:tcBorders>
              <w:tl2br w:val="nil"/>
              <w:tr2bl w:val="nil"/>
            </w:tcBorders>
            <w:noWrap w:val="0"/>
            <w:vAlign w:val="center"/>
          </w:tcPr>
          <w:p w14:paraId="503FD77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6DFE8CE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4779F6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568CFEE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restart"/>
            <w:tcBorders>
              <w:tl2br w:val="nil"/>
              <w:tr2bl w:val="nil"/>
            </w:tcBorders>
            <w:noWrap w:val="0"/>
            <w:vAlign w:val="center"/>
          </w:tcPr>
          <w:p w14:paraId="4F2A60D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六</w:t>
            </w:r>
          </w:p>
        </w:tc>
        <w:tc>
          <w:tcPr>
            <w:tcW w:w="823" w:type="dxa"/>
            <w:vMerge w:val="restart"/>
            <w:tcBorders>
              <w:tl2br w:val="nil"/>
              <w:tr2bl w:val="nil"/>
            </w:tcBorders>
            <w:noWrap w:val="0"/>
            <w:vAlign w:val="center"/>
          </w:tcPr>
          <w:p w14:paraId="2FE6325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卫生间</w:t>
            </w:r>
          </w:p>
        </w:tc>
        <w:tc>
          <w:tcPr>
            <w:tcW w:w="6272" w:type="dxa"/>
            <w:gridSpan w:val="2"/>
            <w:tcBorders>
              <w:tl2br w:val="nil"/>
              <w:tr2bl w:val="nil"/>
            </w:tcBorders>
            <w:noWrap w:val="0"/>
            <w:vAlign w:val="center"/>
          </w:tcPr>
          <w:p w14:paraId="17C46B0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地面干净、无污渍、无积水</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2814800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860" w:type="dxa"/>
            <w:vMerge w:val="restart"/>
            <w:tcBorders>
              <w:tl2br w:val="nil"/>
              <w:tr2bl w:val="nil"/>
            </w:tcBorders>
            <w:noWrap w:val="0"/>
            <w:vAlign w:val="center"/>
          </w:tcPr>
          <w:p w14:paraId="73A0C6B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6AD9D9F2">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kern w:val="0"/>
                <w:sz w:val="24"/>
                <w:szCs w:val="24"/>
              </w:rPr>
            </w:pPr>
          </w:p>
        </w:tc>
      </w:tr>
      <w:tr w14:paraId="658109A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2E1C8DC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1085F5E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4B5FE12F">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洁具洁净、无污渍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51192FE">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6428311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4B4232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B880CD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260D824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BB172E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02B290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门窗、墙壁、隔断、玻璃、窗台表面干净、无污迹，金属饰件有金属光泽</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1E8FB4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33B441E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626E3E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E7A2DF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057BBBF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648C975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CA8640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天花板表面无蛛网</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0E6D3FB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271C893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061CFA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EF7D55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46BB7BD7">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F394A1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F387D1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换气扇表面无积尘</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42549ED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7EFCFC7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FD855E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32B78F7C">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7" w:hRule="atLeast"/>
        </w:trPr>
        <w:tc>
          <w:tcPr>
            <w:tcW w:w="627" w:type="dxa"/>
            <w:vMerge w:val="continue"/>
            <w:tcBorders>
              <w:tl2br w:val="nil"/>
              <w:tr2bl w:val="nil"/>
            </w:tcBorders>
            <w:noWrap w:val="0"/>
            <w:vAlign w:val="center"/>
          </w:tcPr>
          <w:p w14:paraId="4EBF21E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D2EC0E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9702B3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洗手台干净、无污垢</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473714AB">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067B29E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5B99B8A">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779F9EC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 w:hRule="atLeast"/>
        </w:trPr>
        <w:tc>
          <w:tcPr>
            <w:tcW w:w="627" w:type="dxa"/>
            <w:vMerge w:val="continue"/>
            <w:tcBorders>
              <w:tl2br w:val="nil"/>
              <w:tr2bl w:val="nil"/>
            </w:tcBorders>
            <w:noWrap w:val="0"/>
            <w:vAlign w:val="center"/>
          </w:tcPr>
          <w:p w14:paraId="2CBF958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F9820BB">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3E0A72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r>
              <w:rPr>
                <w:rFonts w:hint="eastAsia" w:ascii="宋体" w:hAnsi="宋体" w:eastAsia="宋体" w:cs="宋体"/>
                <w:b w:val="0"/>
                <w:bCs w:val="0"/>
                <w:sz w:val="24"/>
                <w:szCs w:val="24"/>
                <w:highlight w:val="none"/>
              </w:rPr>
              <w:t>保持空气流通、无明显异味。</w:t>
            </w:r>
          </w:p>
        </w:tc>
        <w:tc>
          <w:tcPr>
            <w:tcW w:w="576" w:type="dxa"/>
            <w:tcBorders>
              <w:tl2br w:val="nil"/>
              <w:tr2bl w:val="nil"/>
            </w:tcBorders>
            <w:noWrap w:val="0"/>
            <w:vAlign w:val="center"/>
          </w:tcPr>
          <w:p w14:paraId="27C80BB1">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528D7E7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1007CD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1B661C2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627" w:type="dxa"/>
            <w:vMerge w:val="restart"/>
            <w:tcBorders>
              <w:tl2br w:val="nil"/>
              <w:tr2bl w:val="nil"/>
            </w:tcBorders>
            <w:noWrap w:val="0"/>
            <w:vAlign w:val="center"/>
          </w:tcPr>
          <w:p w14:paraId="37279E1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七</w:t>
            </w:r>
          </w:p>
        </w:tc>
        <w:tc>
          <w:tcPr>
            <w:tcW w:w="823" w:type="dxa"/>
            <w:vMerge w:val="restart"/>
            <w:tcBorders>
              <w:tl2br w:val="nil"/>
              <w:tr2bl w:val="nil"/>
            </w:tcBorders>
            <w:noWrap w:val="0"/>
            <w:vAlign w:val="center"/>
          </w:tcPr>
          <w:p w14:paraId="70D2FE4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rPr>
            </w:pPr>
            <w:r>
              <w:rPr>
                <w:rFonts w:hint="eastAsia" w:ascii="宋体" w:hAnsi="宋体" w:eastAsia="宋体" w:cs="宋体"/>
                <w:b w:val="0"/>
                <w:bCs w:val="0"/>
                <w:sz w:val="24"/>
                <w:szCs w:val="24"/>
                <w:highlight w:val="none"/>
              </w:rPr>
              <w:t>电梯轿厢</w:t>
            </w:r>
          </w:p>
        </w:tc>
        <w:tc>
          <w:tcPr>
            <w:tcW w:w="6272" w:type="dxa"/>
            <w:gridSpan w:val="2"/>
            <w:tcBorders>
              <w:tl2br w:val="nil"/>
              <w:tr2bl w:val="nil"/>
            </w:tcBorders>
            <w:noWrap w:val="0"/>
            <w:vAlign w:val="center"/>
          </w:tcPr>
          <w:p w14:paraId="2CA8F5AD">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每日擦拭轿厢门、面板，清拖轿厢地面</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6BAD73F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restart"/>
            <w:tcBorders>
              <w:tl2br w:val="nil"/>
              <w:tr2bl w:val="nil"/>
            </w:tcBorders>
            <w:noWrap w:val="0"/>
            <w:vAlign w:val="center"/>
          </w:tcPr>
          <w:p w14:paraId="4441365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4B802881">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r>
      <w:tr w14:paraId="5E645CD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0" w:hRule="atLeast"/>
        </w:trPr>
        <w:tc>
          <w:tcPr>
            <w:tcW w:w="627" w:type="dxa"/>
            <w:vMerge w:val="continue"/>
            <w:tcBorders>
              <w:tl2br w:val="nil"/>
              <w:tr2bl w:val="nil"/>
            </w:tcBorders>
            <w:noWrap w:val="0"/>
            <w:vAlign w:val="center"/>
          </w:tcPr>
          <w:p w14:paraId="062834E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40E37D8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4E5F0B5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轿厢内无污渍、无粘贴物</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2FE24F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4934B5C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BDB3C80">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5D0F4AA9">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627" w:type="dxa"/>
            <w:vMerge w:val="continue"/>
            <w:tcBorders>
              <w:tl2br w:val="nil"/>
              <w:tr2bl w:val="nil"/>
            </w:tcBorders>
            <w:noWrap w:val="0"/>
            <w:vAlign w:val="center"/>
          </w:tcPr>
          <w:p w14:paraId="59B3CB4C">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A3A993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2DC4BA0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灯具、操作指示板明亮</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90271A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268A43F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740C9C6">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6B050368">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7" w:hRule="atLeast"/>
        </w:trPr>
        <w:tc>
          <w:tcPr>
            <w:tcW w:w="627" w:type="dxa"/>
            <w:vMerge w:val="continue"/>
            <w:tcBorders>
              <w:tl2br w:val="nil"/>
              <w:tr2bl w:val="nil"/>
            </w:tcBorders>
            <w:noWrap w:val="0"/>
            <w:vAlign w:val="center"/>
          </w:tcPr>
          <w:p w14:paraId="048677A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3B5980E">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EF31E8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厢内地面干净、无异味</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7815F6A">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42C10B45">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428C4CC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0A98647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trPr>
        <w:tc>
          <w:tcPr>
            <w:tcW w:w="627" w:type="dxa"/>
            <w:vMerge w:val="continue"/>
            <w:tcBorders>
              <w:tl2br w:val="nil"/>
              <w:tr2bl w:val="nil"/>
            </w:tcBorders>
            <w:noWrap w:val="0"/>
            <w:vAlign w:val="center"/>
          </w:tcPr>
          <w:p w14:paraId="3DF6F4B4">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E61697D">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7DE59429">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电梯门槽内无垃圾、无杂物。</w:t>
            </w:r>
          </w:p>
        </w:tc>
        <w:tc>
          <w:tcPr>
            <w:tcW w:w="576" w:type="dxa"/>
            <w:tcBorders>
              <w:tl2br w:val="nil"/>
              <w:tr2bl w:val="nil"/>
            </w:tcBorders>
            <w:noWrap w:val="0"/>
            <w:vAlign w:val="center"/>
          </w:tcPr>
          <w:p w14:paraId="643F0416">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1764864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4C4CA28">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r>
      <w:tr w14:paraId="7C0C880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1" w:hRule="atLeast"/>
        </w:trPr>
        <w:tc>
          <w:tcPr>
            <w:tcW w:w="627" w:type="dxa"/>
            <w:vMerge w:val="restart"/>
            <w:tcBorders>
              <w:tl2br w:val="nil"/>
              <w:tr2bl w:val="nil"/>
            </w:tcBorders>
            <w:noWrap w:val="0"/>
            <w:vAlign w:val="center"/>
          </w:tcPr>
          <w:p w14:paraId="110833B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八</w:t>
            </w:r>
          </w:p>
        </w:tc>
        <w:tc>
          <w:tcPr>
            <w:tcW w:w="823" w:type="dxa"/>
            <w:vMerge w:val="restart"/>
            <w:tcBorders>
              <w:tl2br w:val="nil"/>
              <w:tr2bl w:val="nil"/>
            </w:tcBorders>
            <w:noWrap w:val="0"/>
            <w:vAlign w:val="center"/>
          </w:tcPr>
          <w:p w14:paraId="0F1DA1F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宋体" w:hAnsi="宋体" w:eastAsia="宋体" w:cs="宋体"/>
                <w:kern w:val="0"/>
                <w:sz w:val="24"/>
                <w:szCs w:val="24"/>
                <w:lang w:val="en-US" w:eastAsia="zh-CN"/>
              </w:rPr>
            </w:pPr>
            <w:r>
              <w:rPr>
                <w:rFonts w:hint="eastAsia" w:ascii="宋体" w:hAnsi="宋体" w:cs="宋体"/>
                <w:b w:val="0"/>
                <w:bCs w:val="0"/>
                <w:sz w:val="24"/>
                <w:szCs w:val="24"/>
                <w:highlight w:val="none"/>
                <w:lang w:val="en-US" w:eastAsia="zh-CN"/>
              </w:rPr>
              <w:t>前台服务</w:t>
            </w:r>
          </w:p>
        </w:tc>
        <w:tc>
          <w:tcPr>
            <w:tcW w:w="6272" w:type="dxa"/>
            <w:gridSpan w:val="2"/>
            <w:tcBorders>
              <w:tl2br w:val="nil"/>
              <w:tr2bl w:val="nil"/>
            </w:tcBorders>
            <w:noWrap w:val="0"/>
            <w:vAlign w:val="center"/>
          </w:tcPr>
          <w:p w14:paraId="687DAB59">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spacing w:val="-1"/>
                <w:sz w:val="24"/>
                <w:szCs w:val="24"/>
                <w:lang w:val="en-US" w:eastAsia="zh-CN"/>
              </w:rPr>
              <w:t>主动询问，登记信息准确，及时联系被访人，准确核实工作人员身份。</w:t>
            </w:r>
          </w:p>
        </w:tc>
        <w:tc>
          <w:tcPr>
            <w:tcW w:w="576" w:type="dxa"/>
            <w:tcBorders>
              <w:tl2br w:val="nil"/>
              <w:tr2bl w:val="nil"/>
            </w:tcBorders>
            <w:noWrap w:val="0"/>
            <w:vAlign w:val="center"/>
          </w:tcPr>
          <w:p w14:paraId="147207F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0" w:type="dxa"/>
            <w:vMerge w:val="restart"/>
            <w:tcBorders>
              <w:tl2br w:val="nil"/>
              <w:tr2bl w:val="nil"/>
            </w:tcBorders>
            <w:noWrap w:val="0"/>
            <w:vAlign w:val="center"/>
          </w:tcPr>
          <w:p w14:paraId="1BE81E0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0B63604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sz w:val="24"/>
                <w:szCs w:val="24"/>
                <w:lang w:val="en-US" w:eastAsia="zh-CN"/>
              </w:rPr>
            </w:pPr>
          </w:p>
        </w:tc>
      </w:tr>
      <w:tr w14:paraId="04F2500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85" w:hRule="atLeast"/>
        </w:trPr>
        <w:tc>
          <w:tcPr>
            <w:tcW w:w="627" w:type="dxa"/>
            <w:vMerge w:val="continue"/>
            <w:tcBorders>
              <w:tl2br w:val="nil"/>
              <w:tr2bl w:val="nil"/>
            </w:tcBorders>
            <w:noWrap w:val="0"/>
            <w:vAlign w:val="center"/>
          </w:tcPr>
          <w:p w14:paraId="291A3824">
            <w:pPr>
              <w:keepNext w:val="0"/>
              <w:keepLines w:val="0"/>
              <w:pageBreakBefore w:val="0"/>
              <w:widowControl w:val="0"/>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1C9636D0">
            <w:pPr>
              <w:keepNext w:val="0"/>
              <w:keepLines w:val="0"/>
              <w:pageBreakBefore w:val="0"/>
              <w:widowControl w:val="0"/>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316FE671">
            <w:pPr>
              <w:widowControl/>
              <w:spacing w:line="360" w:lineRule="auto"/>
              <w:jc w:val="left"/>
              <w:rPr>
                <w:rFonts w:hint="default" w:ascii="宋体" w:hAnsi="宋体" w:eastAsia="宋体" w:cs="宋体"/>
                <w:spacing w:val="-1"/>
                <w:sz w:val="24"/>
                <w:szCs w:val="24"/>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cs="宋体"/>
                <w:spacing w:val="-1"/>
                <w:sz w:val="24"/>
                <w:szCs w:val="24"/>
                <w:lang w:val="en-US" w:eastAsia="zh-CN"/>
              </w:rPr>
              <w:t>听从安排，认真完成领导布置的内勤工作。</w:t>
            </w:r>
          </w:p>
          <w:p w14:paraId="6DFF34D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b w:val="0"/>
                <w:bCs w:val="0"/>
                <w:sz w:val="24"/>
                <w:szCs w:val="24"/>
                <w:highlight w:val="none"/>
                <w:lang w:val="en-US" w:eastAsia="zh-CN"/>
              </w:rPr>
            </w:pPr>
          </w:p>
        </w:tc>
        <w:tc>
          <w:tcPr>
            <w:tcW w:w="576" w:type="dxa"/>
            <w:tcBorders>
              <w:tl2br w:val="nil"/>
              <w:tr2bl w:val="nil"/>
            </w:tcBorders>
            <w:noWrap w:val="0"/>
            <w:vAlign w:val="center"/>
          </w:tcPr>
          <w:p w14:paraId="4A75D32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6D3A645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2318D1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Chars="0"/>
              <w:jc w:val="left"/>
              <w:textAlignment w:val="auto"/>
              <w:rPr>
                <w:rFonts w:hint="eastAsia" w:ascii="宋体" w:hAnsi="宋体" w:eastAsia="宋体" w:cs="宋体"/>
                <w:b w:val="0"/>
                <w:bCs w:val="0"/>
                <w:sz w:val="24"/>
                <w:szCs w:val="24"/>
                <w:highlight w:val="none"/>
                <w:lang w:val="en-US" w:eastAsia="zh-CN"/>
              </w:rPr>
            </w:pPr>
          </w:p>
        </w:tc>
      </w:tr>
      <w:tr w14:paraId="1E4D944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55" w:hRule="atLeast"/>
        </w:trPr>
        <w:tc>
          <w:tcPr>
            <w:tcW w:w="627" w:type="dxa"/>
            <w:vMerge w:val="restart"/>
            <w:tcBorders>
              <w:tl2br w:val="nil"/>
              <w:tr2bl w:val="nil"/>
            </w:tcBorders>
            <w:noWrap w:val="0"/>
            <w:vAlign w:val="center"/>
          </w:tcPr>
          <w:p w14:paraId="4243E06C">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九</w:t>
            </w:r>
          </w:p>
        </w:tc>
        <w:tc>
          <w:tcPr>
            <w:tcW w:w="823" w:type="dxa"/>
            <w:vMerge w:val="restart"/>
            <w:tcBorders>
              <w:tl2br w:val="nil"/>
              <w:tr2bl w:val="nil"/>
            </w:tcBorders>
            <w:noWrap w:val="0"/>
            <w:vAlign w:val="center"/>
          </w:tcPr>
          <w:p w14:paraId="4E0F5D82">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rPr>
              <w:t>平台、屋顶</w:t>
            </w:r>
          </w:p>
        </w:tc>
        <w:tc>
          <w:tcPr>
            <w:tcW w:w="6272" w:type="dxa"/>
            <w:gridSpan w:val="2"/>
            <w:tcBorders>
              <w:tl2br w:val="nil"/>
              <w:tr2bl w:val="nil"/>
            </w:tcBorders>
            <w:noWrap w:val="0"/>
            <w:vAlign w:val="center"/>
          </w:tcPr>
          <w:p w14:paraId="7BFBF60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定期清扫，雨季期间每半月清扫1次</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28EE4F2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0" w:type="dxa"/>
            <w:vMerge w:val="restart"/>
            <w:tcBorders>
              <w:tl2br w:val="nil"/>
              <w:tr2bl w:val="nil"/>
            </w:tcBorders>
            <w:noWrap w:val="0"/>
            <w:vAlign w:val="center"/>
          </w:tcPr>
          <w:p w14:paraId="53FA22A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5DEC224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5A0D710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6" w:hRule="atLeast"/>
        </w:trPr>
        <w:tc>
          <w:tcPr>
            <w:tcW w:w="627" w:type="dxa"/>
            <w:vMerge w:val="continue"/>
            <w:tcBorders>
              <w:tl2br w:val="nil"/>
              <w:tr2bl w:val="nil"/>
            </w:tcBorders>
            <w:noWrap w:val="0"/>
            <w:vAlign w:val="center"/>
          </w:tcPr>
          <w:p w14:paraId="16D2E543">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114C2B6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040A05C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定期巡查天台、内天井，有杂物及时清扫。</w:t>
            </w:r>
          </w:p>
        </w:tc>
        <w:tc>
          <w:tcPr>
            <w:tcW w:w="576" w:type="dxa"/>
            <w:tcBorders>
              <w:tl2br w:val="nil"/>
              <w:tr2bl w:val="nil"/>
            </w:tcBorders>
            <w:noWrap w:val="0"/>
            <w:vAlign w:val="center"/>
          </w:tcPr>
          <w:p w14:paraId="5E14F5D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860" w:type="dxa"/>
            <w:vMerge w:val="continue"/>
            <w:tcBorders>
              <w:tl2br w:val="nil"/>
              <w:tr2bl w:val="nil"/>
            </w:tcBorders>
            <w:noWrap w:val="0"/>
            <w:vAlign w:val="center"/>
          </w:tcPr>
          <w:p w14:paraId="4176B15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654E93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201C9E8F">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3" w:hRule="atLeast"/>
        </w:trPr>
        <w:tc>
          <w:tcPr>
            <w:tcW w:w="627" w:type="dxa"/>
            <w:tcBorders>
              <w:tl2br w:val="nil"/>
              <w:tr2bl w:val="nil"/>
            </w:tcBorders>
            <w:noWrap w:val="0"/>
            <w:vAlign w:val="center"/>
          </w:tcPr>
          <w:p w14:paraId="2640541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十</w:t>
            </w:r>
          </w:p>
        </w:tc>
        <w:tc>
          <w:tcPr>
            <w:tcW w:w="823" w:type="dxa"/>
            <w:tcBorders>
              <w:tl2br w:val="nil"/>
              <w:tr2bl w:val="nil"/>
            </w:tcBorders>
            <w:noWrap w:val="0"/>
            <w:vAlign w:val="center"/>
          </w:tcPr>
          <w:p w14:paraId="1F2C214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b w:val="0"/>
                <w:bCs w:val="0"/>
                <w:sz w:val="24"/>
                <w:szCs w:val="24"/>
                <w:highlight w:val="none"/>
              </w:rPr>
              <w:t>外墙</w:t>
            </w:r>
          </w:p>
        </w:tc>
        <w:tc>
          <w:tcPr>
            <w:tcW w:w="6272" w:type="dxa"/>
            <w:gridSpan w:val="2"/>
            <w:tcBorders>
              <w:tl2br w:val="nil"/>
              <w:tr2bl w:val="nil"/>
            </w:tcBorders>
            <w:noWrap w:val="0"/>
            <w:vAlign w:val="center"/>
          </w:tcPr>
          <w:p w14:paraId="1ADB074E">
            <w:pPr>
              <w:widowControl/>
              <w:spacing w:line="360" w:lineRule="auto"/>
              <w:ind w:firstLine="476" w:firstLineChars="200"/>
              <w:jc w:val="left"/>
              <w:rPr>
                <w:rFonts w:hint="eastAsia" w:ascii="宋体" w:hAnsi="宋体" w:eastAsia="宋体" w:cs="宋体"/>
                <w:spacing w:val="-1"/>
                <w:sz w:val="24"/>
                <w:szCs w:val="24"/>
              </w:rPr>
            </w:pPr>
          </w:p>
          <w:p w14:paraId="540A2989">
            <w:pPr>
              <w:widowControl/>
              <w:spacing w:line="360" w:lineRule="auto"/>
              <w:jc w:val="left"/>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1.</w:t>
            </w:r>
            <w:r>
              <w:rPr>
                <w:rFonts w:hint="eastAsia" w:ascii="宋体" w:hAnsi="宋体" w:eastAsia="宋体" w:cs="宋体"/>
                <w:spacing w:val="-1"/>
                <w:sz w:val="24"/>
                <w:szCs w:val="24"/>
              </w:rPr>
              <w:t>依规清洗外墙一层玻璃，先制定方案、设置标识，再用专业设备与清洁剂操作。保证玻璃外观整洁，无污渍、灰尘堆积。</w:t>
            </w:r>
          </w:p>
          <w:p w14:paraId="567C8BB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kern w:val="0"/>
                <w:sz w:val="24"/>
                <w:szCs w:val="24"/>
                <w:lang w:eastAsia="zh-CN"/>
              </w:rPr>
            </w:pPr>
          </w:p>
        </w:tc>
        <w:tc>
          <w:tcPr>
            <w:tcW w:w="576" w:type="dxa"/>
            <w:tcBorders>
              <w:tl2br w:val="nil"/>
              <w:tr2bl w:val="nil"/>
            </w:tcBorders>
            <w:noWrap w:val="0"/>
            <w:vAlign w:val="center"/>
          </w:tcPr>
          <w:p w14:paraId="27D86CB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tcBorders>
              <w:tl2br w:val="nil"/>
              <w:tr2bl w:val="nil"/>
            </w:tcBorders>
            <w:noWrap w:val="0"/>
            <w:vAlign w:val="center"/>
          </w:tcPr>
          <w:p w14:paraId="1F21EF2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44B9055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5138C3BA">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restart"/>
            <w:tcBorders>
              <w:tl2br w:val="nil"/>
              <w:tr2bl w:val="nil"/>
            </w:tcBorders>
            <w:noWrap w:val="0"/>
            <w:vAlign w:val="center"/>
          </w:tcPr>
          <w:p w14:paraId="2DA99F5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十一</w:t>
            </w:r>
          </w:p>
        </w:tc>
        <w:tc>
          <w:tcPr>
            <w:tcW w:w="823" w:type="dxa"/>
            <w:vMerge w:val="restart"/>
            <w:tcBorders>
              <w:tl2br w:val="nil"/>
              <w:tr2bl w:val="nil"/>
            </w:tcBorders>
            <w:noWrap w:val="0"/>
            <w:vAlign w:val="center"/>
          </w:tcPr>
          <w:p w14:paraId="370F67C5">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院落</w:t>
            </w:r>
          </w:p>
        </w:tc>
        <w:tc>
          <w:tcPr>
            <w:tcW w:w="6272" w:type="dxa"/>
            <w:gridSpan w:val="2"/>
            <w:tcBorders>
              <w:tl2br w:val="nil"/>
              <w:tr2bl w:val="nil"/>
            </w:tcBorders>
            <w:noWrap w:val="0"/>
            <w:vAlign w:val="center"/>
          </w:tcPr>
          <w:p w14:paraId="58B1C25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每日清扫道路地面，在雨、雪天气及时清扫道路积水、积雪，保持干净、无杂物、无积水、无污迹</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47C6FF0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restart"/>
            <w:tcBorders>
              <w:tl2br w:val="nil"/>
              <w:tr2bl w:val="nil"/>
            </w:tcBorders>
            <w:noWrap w:val="0"/>
            <w:vAlign w:val="center"/>
          </w:tcPr>
          <w:p w14:paraId="7C3EBB6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2E41949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114834F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3819EF3C">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2B1FC13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080ED23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沟渠、池、井内无杂物、无异味</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C6E6A9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546277F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7DD8729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4F09BEF6">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142B1F9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A03C73C">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1C15F30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各种路标、标志、宣传栏表面干净、无积尘、无水印</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FC3311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0242312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6F306F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5D0243C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34FC3EB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292FE10F">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B552AA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定期清洁室外照明及共用设施</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1EA0EC4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09301C5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D0BE80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6CD7BF1E">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78" w:hRule="atLeast"/>
        </w:trPr>
        <w:tc>
          <w:tcPr>
            <w:tcW w:w="627" w:type="dxa"/>
            <w:vMerge w:val="continue"/>
            <w:tcBorders>
              <w:tl2br w:val="nil"/>
              <w:tr2bl w:val="nil"/>
            </w:tcBorders>
            <w:noWrap w:val="0"/>
            <w:vAlign w:val="center"/>
          </w:tcPr>
          <w:p w14:paraId="460CA87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5F19E046">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BEEB8E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定期清洁属高空作业范围的路灯、景观灯等，表面无污渍。</w:t>
            </w:r>
          </w:p>
        </w:tc>
        <w:tc>
          <w:tcPr>
            <w:tcW w:w="576" w:type="dxa"/>
            <w:tcBorders>
              <w:tl2br w:val="nil"/>
              <w:tr2bl w:val="nil"/>
            </w:tcBorders>
            <w:noWrap w:val="0"/>
            <w:vAlign w:val="center"/>
          </w:tcPr>
          <w:p w14:paraId="1E554AE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3E5C101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BC8FD0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4357E525">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52" w:hRule="atLeast"/>
        </w:trPr>
        <w:tc>
          <w:tcPr>
            <w:tcW w:w="627" w:type="dxa"/>
            <w:vMerge w:val="restart"/>
            <w:tcBorders>
              <w:tl2br w:val="nil"/>
              <w:tr2bl w:val="nil"/>
            </w:tcBorders>
            <w:noWrap w:val="0"/>
            <w:vAlign w:val="center"/>
          </w:tcPr>
          <w:p w14:paraId="04C7DC7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十二</w:t>
            </w:r>
          </w:p>
        </w:tc>
        <w:tc>
          <w:tcPr>
            <w:tcW w:w="823" w:type="dxa"/>
            <w:vMerge w:val="restart"/>
            <w:tcBorders>
              <w:tl2br w:val="nil"/>
              <w:tr2bl w:val="nil"/>
            </w:tcBorders>
            <w:noWrap w:val="0"/>
            <w:vAlign w:val="center"/>
          </w:tcPr>
          <w:p w14:paraId="5174895F">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宋体" w:hAnsi="宋体" w:eastAsia="宋体" w:cs="宋体"/>
                <w:kern w:val="0"/>
                <w:sz w:val="24"/>
                <w:szCs w:val="24"/>
                <w:lang w:val="en-US" w:eastAsia="zh-CN"/>
              </w:rPr>
            </w:pPr>
            <w:r>
              <w:rPr>
                <w:rFonts w:hint="eastAsia" w:ascii="宋体" w:hAnsi="宋体" w:cs="宋体"/>
                <w:b w:val="0"/>
                <w:bCs w:val="0"/>
                <w:sz w:val="24"/>
                <w:szCs w:val="24"/>
                <w:highlight w:val="none"/>
                <w:lang w:val="en-US" w:eastAsia="zh-CN"/>
              </w:rPr>
              <w:t>四害消杀</w:t>
            </w:r>
          </w:p>
        </w:tc>
        <w:tc>
          <w:tcPr>
            <w:tcW w:w="6272" w:type="dxa"/>
            <w:gridSpan w:val="2"/>
            <w:tcBorders>
              <w:tl2br w:val="nil"/>
              <w:tr2bl w:val="nil"/>
            </w:tcBorders>
            <w:noWrap w:val="0"/>
            <w:vAlign w:val="center"/>
          </w:tcPr>
          <w:p w14:paraId="3F7389A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default" w:ascii="宋体" w:hAnsi="宋体" w:eastAsia="宋体" w:cs="宋体"/>
                <w:spacing w:val="-1"/>
                <w:sz w:val="24"/>
                <w:szCs w:val="24"/>
                <w:lang w:val="en-US" w:eastAsia="zh-CN"/>
              </w:rPr>
              <w:t>所承包的防治项目,应有首次杀灭作业前的现场密度检测记录</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2DB9F6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restart"/>
            <w:tcBorders>
              <w:tl2br w:val="nil"/>
              <w:tr2bl w:val="nil"/>
            </w:tcBorders>
            <w:noWrap w:val="0"/>
            <w:vAlign w:val="center"/>
          </w:tcPr>
          <w:p w14:paraId="78E7B48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4A744B6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1531755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80" w:hRule="atLeast"/>
        </w:trPr>
        <w:tc>
          <w:tcPr>
            <w:tcW w:w="627" w:type="dxa"/>
            <w:vMerge w:val="continue"/>
            <w:tcBorders>
              <w:tl2br w:val="nil"/>
              <w:tr2bl w:val="nil"/>
            </w:tcBorders>
            <w:noWrap w:val="0"/>
            <w:vAlign w:val="center"/>
          </w:tcPr>
          <w:p w14:paraId="3EAA93D3">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28B22456">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36F43CD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default" w:ascii="宋体" w:hAnsi="宋体" w:eastAsia="宋体" w:cs="宋体"/>
                <w:spacing w:val="-1"/>
                <w:sz w:val="24"/>
                <w:szCs w:val="24"/>
                <w:lang w:val="en-US" w:eastAsia="zh-CN"/>
              </w:rPr>
              <w:t>确保在承包期内所负责的有害生物防治项目鼠害密度控制在不足危害程度；国﹑省﹑市级检查中成虫密度控制在国家规定四害消杀标准以内</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F08411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6792950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5642E3D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24B9741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trPr>
        <w:tc>
          <w:tcPr>
            <w:tcW w:w="627" w:type="dxa"/>
            <w:vMerge w:val="continue"/>
            <w:tcBorders>
              <w:tl2br w:val="nil"/>
              <w:tr2bl w:val="nil"/>
            </w:tcBorders>
            <w:noWrap w:val="0"/>
            <w:vAlign w:val="center"/>
          </w:tcPr>
          <w:p w14:paraId="4540C4C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D7B08D3">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rPr>
            </w:pPr>
          </w:p>
        </w:tc>
        <w:tc>
          <w:tcPr>
            <w:tcW w:w="6272" w:type="dxa"/>
            <w:gridSpan w:val="2"/>
            <w:tcBorders>
              <w:tl2br w:val="nil"/>
              <w:tr2bl w:val="nil"/>
            </w:tcBorders>
            <w:noWrap w:val="0"/>
            <w:vAlign w:val="center"/>
          </w:tcPr>
          <w:p w14:paraId="74143D13">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default" w:ascii="宋体" w:hAnsi="宋体" w:eastAsia="宋体" w:cs="宋体"/>
                <w:spacing w:val="-1"/>
                <w:sz w:val="24"/>
                <w:szCs w:val="24"/>
                <w:lang w:val="en-US" w:eastAsia="zh-CN"/>
              </w:rPr>
              <w:t>每次杀灭作业应及时到位,入场工作人员不得违反甲方明文公示的各项规章制度</w:t>
            </w:r>
            <w:r>
              <w:rPr>
                <w:rFonts w:hint="eastAsia" w:ascii="宋体" w:hAnsi="宋体" w:eastAsia="宋体" w:cs="宋体"/>
                <w:b w:val="0"/>
                <w:bCs w:val="0"/>
                <w:sz w:val="24"/>
                <w:szCs w:val="24"/>
                <w:highlight w:val="none"/>
              </w:rPr>
              <w:t>。</w:t>
            </w:r>
          </w:p>
        </w:tc>
        <w:tc>
          <w:tcPr>
            <w:tcW w:w="576" w:type="dxa"/>
            <w:tcBorders>
              <w:tl2br w:val="nil"/>
              <w:tr2bl w:val="nil"/>
            </w:tcBorders>
            <w:noWrap w:val="0"/>
            <w:vAlign w:val="center"/>
          </w:tcPr>
          <w:p w14:paraId="4AADE8B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continue"/>
            <w:tcBorders>
              <w:tl2br w:val="nil"/>
              <w:tr2bl w:val="nil"/>
            </w:tcBorders>
            <w:noWrap w:val="0"/>
            <w:vAlign w:val="center"/>
          </w:tcPr>
          <w:p w14:paraId="71CC37D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AC5FF6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3639D86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8" w:hRule="atLeast"/>
        </w:trPr>
        <w:tc>
          <w:tcPr>
            <w:tcW w:w="627" w:type="dxa"/>
            <w:vMerge w:val="restart"/>
            <w:tcBorders>
              <w:tl2br w:val="nil"/>
              <w:tr2bl w:val="nil"/>
            </w:tcBorders>
            <w:noWrap w:val="0"/>
            <w:vAlign w:val="center"/>
          </w:tcPr>
          <w:p w14:paraId="232CA254">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十三</w:t>
            </w:r>
          </w:p>
        </w:tc>
        <w:tc>
          <w:tcPr>
            <w:tcW w:w="823" w:type="dxa"/>
            <w:vMerge w:val="restart"/>
            <w:tcBorders>
              <w:tl2br w:val="nil"/>
              <w:tr2bl w:val="nil"/>
            </w:tcBorders>
            <w:noWrap w:val="0"/>
            <w:vAlign w:val="center"/>
          </w:tcPr>
          <w:p w14:paraId="540AD57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垃圾处理</w:t>
            </w:r>
          </w:p>
        </w:tc>
        <w:tc>
          <w:tcPr>
            <w:tcW w:w="6272" w:type="dxa"/>
            <w:gridSpan w:val="2"/>
            <w:tcBorders>
              <w:tl2br w:val="nil"/>
              <w:tr2bl w:val="nil"/>
            </w:tcBorders>
            <w:noWrap w:val="0"/>
            <w:vAlign w:val="center"/>
          </w:tcPr>
          <w:p w14:paraId="225580A4">
            <w:pPr>
              <w:keepNext w:val="0"/>
              <w:keepLines w:val="0"/>
              <w:pageBreakBefore w:val="0"/>
              <w:widowControl w:val="0"/>
              <w:kinsoku/>
              <w:wordWrap/>
              <w:overflowPunct/>
              <w:topLinePunct w:val="0"/>
              <w:autoSpaceDE/>
              <w:autoSpaceDN/>
              <w:bidi w:val="0"/>
              <w:adjustRightInd w:val="0"/>
              <w:snapToGrid w:val="0"/>
              <w:spacing w:line="540" w:lineRule="exact"/>
              <w:jc w:val="both"/>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按指定位置摆放分类垃圾桶（箱）</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BAB81C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restart"/>
            <w:tcBorders>
              <w:tl2br w:val="nil"/>
              <w:tr2bl w:val="nil"/>
            </w:tcBorders>
            <w:noWrap w:val="0"/>
            <w:vAlign w:val="center"/>
          </w:tcPr>
          <w:p w14:paraId="41446FF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未按规定执行，每发现一次扣1分</w:t>
            </w:r>
          </w:p>
        </w:tc>
        <w:tc>
          <w:tcPr>
            <w:tcW w:w="584" w:type="dxa"/>
            <w:gridSpan w:val="2"/>
            <w:tcBorders>
              <w:tl2br w:val="nil"/>
              <w:tr2bl w:val="nil"/>
            </w:tcBorders>
            <w:noWrap w:val="0"/>
            <w:vAlign w:val="center"/>
          </w:tcPr>
          <w:p w14:paraId="63ED990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165FA130">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5" w:hRule="atLeast"/>
        </w:trPr>
        <w:tc>
          <w:tcPr>
            <w:tcW w:w="627" w:type="dxa"/>
            <w:vMerge w:val="continue"/>
            <w:tcBorders>
              <w:tl2br w:val="nil"/>
              <w:tr2bl w:val="nil"/>
            </w:tcBorders>
            <w:noWrap w:val="0"/>
            <w:vAlign w:val="center"/>
          </w:tcPr>
          <w:p w14:paraId="4A30C2C2">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71974BF0">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2EAF790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桶（箱）身表面干净、无污渍</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75AF288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758AD43F">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22A7621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53D280A4">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2" w:hRule="atLeast"/>
        </w:trPr>
        <w:tc>
          <w:tcPr>
            <w:tcW w:w="627" w:type="dxa"/>
            <w:vMerge w:val="continue"/>
            <w:tcBorders>
              <w:tl2br w:val="nil"/>
              <w:tr2bl w:val="nil"/>
            </w:tcBorders>
            <w:noWrap w:val="0"/>
            <w:vAlign w:val="center"/>
          </w:tcPr>
          <w:p w14:paraId="5573AEB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BDD5355">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019ACA2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地面无垃圾；垃圾中转房无明显异味</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A66D33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69411F4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6B1CBAA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4B3FC6E7">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627" w:type="dxa"/>
            <w:vMerge w:val="continue"/>
            <w:tcBorders>
              <w:tl2br w:val="nil"/>
              <w:tr2bl w:val="nil"/>
            </w:tcBorders>
            <w:noWrap w:val="0"/>
            <w:vAlign w:val="center"/>
          </w:tcPr>
          <w:p w14:paraId="04FAAE0B">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7EA7272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3FC22D3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垃圾分类投放、分类收集、分类运输</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C996D36">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6EF1950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0A3666F8">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6C90D93B">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trPr>
        <w:tc>
          <w:tcPr>
            <w:tcW w:w="627" w:type="dxa"/>
            <w:vMerge w:val="continue"/>
            <w:tcBorders>
              <w:tl2br w:val="nil"/>
              <w:tr2bl w:val="nil"/>
            </w:tcBorders>
            <w:noWrap w:val="0"/>
            <w:vAlign w:val="center"/>
          </w:tcPr>
          <w:p w14:paraId="2194F667">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823" w:type="dxa"/>
            <w:vMerge w:val="continue"/>
            <w:tcBorders>
              <w:tl2br w:val="nil"/>
              <w:tr2bl w:val="nil"/>
            </w:tcBorders>
            <w:noWrap w:val="0"/>
            <w:vAlign w:val="center"/>
          </w:tcPr>
          <w:p w14:paraId="4C31D5F6">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6272" w:type="dxa"/>
            <w:gridSpan w:val="2"/>
            <w:tcBorders>
              <w:tl2br w:val="nil"/>
              <w:tr2bl w:val="nil"/>
            </w:tcBorders>
            <w:noWrap w:val="0"/>
            <w:vAlign w:val="center"/>
          </w:tcPr>
          <w:p w14:paraId="4E6123A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垃圾袋装，日产日清。</w:t>
            </w:r>
          </w:p>
        </w:tc>
        <w:tc>
          <w:tcPr>
            <w:tcW w:w="576" w:type="dxa"/>
            <w:tcBorders>
              <w:tl2br w:val="nil"/>
              <w:tr2bl w:val="nil"/>
            </w:tcBorders>
            <w:noWrap w:val="0"/>
            <w:vAlign w:val="center"/>
          </w:tcPr>
          <w:p w14:paraId="1C1E324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3061B46D">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54A71D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531A1892">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6" w:hRule="atLeast"/>
        </w:trPr>
        <w:tc>
          <w:tcPr>
            <w:tcW w:w="627" w:type="dxa"/>
            <w:vMerge w:val="restart"/>
            <w:tcBorders>
              <w:tl2br w:val="nil"/>
              <w:tr2bl w:val="nil"/>
            </w:tcBorders>
            <w:noWrap w:val="0"/>
            <w:vAlign w:val="center"/>
          </w:tcPr>
          <w:p w14:paraId="031C9140">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十四</w:t>
            </w:r>
          </w:p>
        </w:tc>
        <w:tc>
          <w:tcPr>
            <w:tcW w:w="823" w:type="dxa"/>
            <w:vMerge w:val="restart"/>
            <w:tcBorders>
              <w:tl2br w:val="nil"/>
              <w:tr2bl w:val="nil"/>
            </w:tcBorders>
            <w:noWrap w:val="0"/>
            <w:vAlign w:val="center"/>
          </w:tcPr>
          <w:p w14:paraId="39AE66BD">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卫生消毒</w:t>
            </w:r>
          </w:p>
        </w:tc>
        <w:tc>
          <w:tcPr>
            <w:tcW w:w="6272" w:type="dxa"/>
            <w:gridSpan w:val="2"/>
            <w:tcBorders>
              <w:tl2br w:val="nil"/>
              <w:tr2bl w:val="nil"/>
            </w:tcBorders>
            <w:noWrap w:val="0"/>
            <w:vAlign w:val="center"/>
          </w:tcPr>
          <w:p w14:paraId="0760D0B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kern w:val="0"/>
                <w:sz w:val="24"/>
                <w:szCs w:val="24"/>
                <w:lang w:eastAsia="zh-CN"/>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定期预防性卫生消杀公共场所和周围环境</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84消毒液不能与洁厕灵同时使用；电梯等不锈钢品不能使用84消毒液擦拭、不能用钢丝球擦拭</w:t>
            </w:r>
            <w:r>
              <w:rPr>
                <w:rFonts w:hint="eastAsia" w:ascii="宋体" w:hAnsi="宋体" w:eastAsia="宋体" w:cs="宋体"/>
                <w:b w:val="0"/>
                <w:bCs w:val="0"/>
                <w:sz w:val="24"/>
                <w:szCs w:val="24"/>
                <w:highlight w:val="none"/>
                <w:lang w:eastAsia="zh-CN"/>
              </w:rPr>
              <w:t>）。</w:t>
            </w:r>
          </w:p>
        </w:tc>
        <w:tc>
          <w:tcPr>
            <w:tcW w:w="576" w:type="dxa"/>
            <w:tcBorders>
              <w:tl2br w:val="nil"/>
              <w:tr2bl w:val="nil"/>
            </w:tcBorders>
            <w:noWrap w:val="0"/>
            <w:vAlign w:val="center"/>
          </w:tcPr>
          <w:p w14:paraId="5D6C50D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860" w:type="dxa"/>
            <w:vMerge w:val="restart"/>
            <w:tcBorders>
              <w:tl2br w:val="nil"/>
              <w:tr2bl w:val="nil"/>
            </w:tcBorders>
            <w:noWrap w:val="0"/>
            <w:vAlign w:val="center"/>
          </w:tcPr>
          <w:p w14:paraId="05F1051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highlight w:val="none"/>
                <w:lang w:val="en-US" w:eastAsia="zh-CN"/>
              </w:rPr>
              <w:t>未按规定执行，每发现一次扣0.5分</w:t>
            </w:r>
          </w:p>
        </w:tc>
        <w:tc>
          <w:tcPr>
            <w:tcW w:w="584" w:type="dxa"/>
            <w:gridSpan w:val="2"/>
            <w:tcBorders>
              <w:tl2br w:val="nil"/>
              <w:tr2bl w:val="nil"/>
            </w:tcBorders>
            <w:noWrap w:val="0"/>
            <w:vAlign w:val="center"/>
          </w:tcPr>
          <w:p w14:paraId="0EE2779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lang w:val="en-US" w:eastAsia="zh-CN"/>
              </w:rPr>
            </w:pPr>
          </w:p>
        </w:tc>
      </w:tr>
      <w:tr w14:paraId="5673E8AD">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8" w:hRule="atLeast"/>
        </w:trPr>
        <w:tc>
          <w:tcPr>
            <w:tcW w:w="627" w:type="dxa"/>
            <w:vMerge w:val="continue"/>
            <w:tcBorders>
              <w:tl2br w:val="nil"/>
              <w:tr2bl w:val="nil"/>
            </w:tcBorders>
            <w:noWrap w:val="0"/>
            <w:vAlign w:val="center"/>
          </w:tcPr>
          <w:p w14:paraId="4580DE81">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823" w:type="dxa"/>
            <w:vMerge w:val="continue"/>
            <w:tcBorders>
              <w:tl2br w:val="nil"/>
              <w:tr2bl w:val="nil"/>
            </w:tcBorders>
            <w:noWrap w:val="0"/>
            <w:vAlign w:val="center"/>
          </w:tcPr>
          <w:p w14:paraId="4F972884">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sz w:val="24"/>
                <w:szCs w:val="24"/>
              </w:rPr>
            </w:pPr>
          </w:p>
        </w:tc>
        <w:tc>
          <w:tcPr>
            <w:tcW w:w="6272" w:type="dxa"/>
            <w:gridSpan w:val="2"/>
            <w:tcBorders>
              <w:tl2br w:val="nil"/>
              <w:tr2bl w:val="nil"/>
            </w:tcBorders>
            <w:noWrap w:val="0"/>
            <w:vAlign w:val="center"/>
          </w:tcPr>
          <w:p w14:paraId="5508590E">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在化学防治中注重合理用药，不使用违禁药品。</w:t>
            </w:r>
          </w:p>
        </w:tc>
        <w:tc>
          <w:tcPr>
            <w:tcW w:w="576" w:type="dxa"/>
            <w:tcBorders>
              <w:tl2br w:val="nil"/>
              <w:tr2bl w:val="nil"/>
            </w:tcBorders>
            <w:noWrap w:val="0"/>
            <w:vAlign w:val="center"/>
          </w:tcPr>
          <w:p w14:paraId="470530F0">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860" w:type="dxa"/>
            <w:vMerge w:val="continue"/>
            <w:tcBorders>
              <w:tl2br w:val="nil"/>
              <w:tr2bl w:val="nil"/>
            </w:tcBorders>
            <w:noWrap w:val="0"/>
            <w:vAlign w:val="center"/>
          </w:tcPr>
          <w:p w14:paraId="50785F2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c>
          <w:tcPr>
            <w:tcW w:w="584" w:type="dxa"/>
            <w:gridSpan w:val="2"/>
            <w:tcBorders>
              <w:tl2br w:val="nil"/>
              <w:tr2bl w:val="nil"/>
            </w:tcBorders>
            <w:noWrap w:val="0"/>
            <w:vAlign w:val="center"/>
          </w:tcPr>
          <w:p w14:paraId="3FB1B911">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宋体" w:hAnsi="宋体" w:eastAsia="宋体" w:cs="宋体"/>
                <w:b w:val="0"/>
                <w:bCs w:val="0"/>
                <w:sz w:val="24"/>
                <w:szCs w:val="24"/>
                <w:highlight w:val="none"/>
                <w:lang w:val="en-US" w:eastAsia="zh-CN"/>
              </w:rPr>
            </w:pPr>
          </w:p>
        </w:tc>
      </w:tr>
      <w:tr w14:paraId="0EC996E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90" w:hRule="atLeast"/>
        </w:trPr>
        <w:tc>
          <w:tcPr>
            <w:tcW w:w="7722" w:type="dxa"/>
            <w:gridSpan w:val="4"/>
            <w:tcBorders>
              <w:top w:val="single" w:color="auto" w:sz="8" w:space="0"/>
              <w:left w:val="single" w:color="auto" w:sz="8" w:space="0"/>
              <w:bottom w:val="single" w:color="auto" w:sz="8" w:space="0"/>
              <w:right w:val="single" w:color="auto" w:sz="8" w:space="0"/>
            </w:tcBorders>
            <w:noWrap w:val="0"/>
            <w:vAlign w:val="center"/>
          </w:tcPr>
          <w:p w14:paraId="4715DCF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合   计</w:t>
            </w:r>
          </w:p>
        </w:tc>
        <w:tc>
          <w:tcPr>
            <w:tcW w:w="576" w:type="dxa"/>
            <w:tcBorders>
              <w:top w:val="single" w:color="auto" w:sz="8" w:space="0"/>
              <w:left w:val="single" w:color="auto" w:sz="8" w:space="0"/>
              <w:bottom w:val="single" w:color="auto" w:sz="8" w:space="0"/>
              <w:right w:val="single" w:color="auto" w:sz="8" w:space="0"/>
            </w:tcBorders>
            <w:noWrap w:val="0"/>
            <w:vAlign w:val="center"/>
          </w:tcPr>
          <w:p w14:paraId="20FE315B">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100</w:t>
            </w:r>
          </w:p>
        </w:tc>
        <w:tc>
          <w:tcPr>
            <w:tcW w:w="1434" w:type="dxa"/>
            <w:gridSpan w:val="2"/>
            <w:tcBorders>
              <w:top w:val="single" w:color="auto" w:sz="8" w:space="0"/>
              <w:left w:val="single" w:color="auto" w:sz="8" w:space="0"/>
              <w:bottom w:val="single" w:color="auto" w:sz="8" w:space="0"/>
              <w:right w:val="single" w:color="auto" w:sz="8" w:space="0"/>
            </w:tcBorders>
            <w:noWrap w:val="0"/>
            <w:vAlign w:val="center"/>
          </w:tcPr>
          <w:p w14:paraId="278A9742">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扣分：</w:t>
            </w:r>
          </w:p>
        </w:tc>
      </w:tr>
      <w:tr w14:paraId="0B555D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1248" w:hRule="atLeast"/>
        </w:trPr>
        <w:tc>
          <w:tcPr>
            <w:tcW w:w="9732" w:type="dxa"/>
            <w:gridSpan w:val="7"/>
            <w:tcBorders>
              <w:top w:val="single" w:color="auto" w:sz="8" w:space="0"/>
              <w:left w:val="single" w:color="auto" w:sz="8" w:space="0"/>
              <w:bottom w:val="single" w:color="auto" w:sz="8" w:space="0"/>
              <w:right w:val="single" w:color="auto" w:sz="8" w:space="0"/>
            </w:tcBorders>
            <w:noWrap w:val="0"/>
            <w:vAlign w:val="top"/>
          </w:tcPr>
          <w:p w14:paraId="0CC5B55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确保现场工作人员严格遵守</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的相关纪律和制度，严禁无故脱岗，对日常服务等进行满意度测评打分，并建立台账。每</w:t>
            </w:r>
            <w:r>
              <w:rPr>
                <w:rFonts w:hint="eastAsia" w:ascii="宋体" w:hAnsi="宋体" w:eastAsia="宋体" w:cs="宋体"/>
                <w:b w:val="0"/>
                <w:bCs w:val="0"/>
                <w:sz w:val="24"/>
                <w:szCs w:val="24"/>
                <w:highlight w:val="none"/>
                <w:lang w:val="en-US" w:eastAsia="zh-CN"/>
              </w:rPr>
              <w:t>月</w:t>
            </w:r>
            <w:r>
              <w:rPr>
                <w:rFonts w:hint="eastAsia" w:ascii="宋体" w:hAnsi="宋体" w:eastAsia="宋体" w:cs="宋体"/>
                <w:b w:val="0"/>
                <w:bCs w:val="0"/>
                <w:sz w:val="24"/>
                <w:szCs w:val="24"/>
                <w:highlight w:val="none"/>
              </w:rPr>
              <w:t>为一个考核周期，</w:t>
            </w:r>
            <w:r>
              <w:rPr>
                <w:rFonts w:hint="eastAsia" w:ascii="宋体" w:hAnsi="宋体" w:eastAsia="宋体" w:cs="宋体"/>
                <w:b w:val="0"/>
                <w:bCs w:val="0"/>
                <w:sz w:val="24"/>
                <w:szCs w:val="24"/>
                <w:highlight w:val="none"/>
                <w:lang w:val="en-US" w:eastAsia="zh-CN"/>
              </w:rPr>
              <w:t>按</w:t>
            </w:r>
            <w:r>
              <w:rPr>
                <w:rFonts w:hint="eastAsia" w:ascii="宋体" w:hAnsi="宋体" w:cs="宋体"/>
                <w:b w:val="0"/>
                <w:bCs w:val="0"/>
                <w:sz w:val="24"/>
                <w:szCs w:val="24"/>
                <w:highlight w:val="none"/>
                <w:lang w:val="en-US" w:eastAsia="zh-CN"/>
              </w:rPr>
              <w:t>月</w:t>
            </w:r>
            <w:r>
              <w:rPr>
                <w:rFonts w:hint="eastAsia" w:ascii="宋体" w:hAnsi="宋体" w:eastAsia="宋体" w:cs="宋体"/>
                <w:b w:val="0"/>
                <w:bCs w:val="0"/>
                <w:sz w:val="24"/>
                <w:szCs w:val="24"/>
                <w:highlight w:val="none"/>
              </w:rPr>
              <w:t>结算。考核得分在90-100分为优，全额支付</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服务费；考核得分在80-89分为良好，扣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应付服务费的5%；考核得分在70-80分为一般，扣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应付服务费的10%；考核得分在70分以下为差，</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将要求</w:t>
            </w: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对相关工作进行限期整改，整改后经随机抽查达到良好情形的，扣</w:t>
            </w:r>
            <w:r>
              <w:rPr>
                <w:rFonts w:hint="eastAsia" w:ascii="宋体" w:hAnsi="宋体" w:cs="宋体"/>
                <w:b w:val="0"/>
                <w:bCs w:val="0"/>
                <w:sz w:val="24"/>
                <w:szCs w:val="24"/>
                <w:highlight w:val="none"/>
                <w:lang w:val="en-US" w:eastAsia="zh-CN"/>
              </w:rPr>
              <w:t>当期</w:t>
            </w:r>
            <w:r>
              <w:rPr>
                <w:rFonts w:hint="eastAsia" w:ascii="宋体" w:hAnsi="宋体" w:eastAsia="宋体" w:cs="宋体"/>
                <w:b w:val="0"/>
                <w:bCs w:val="0"/>
                <w:sz w:val="24"/>
                <w:szCs w:val="24"/>
                <w:highlight w:val="none"/>
              </w:rPr>
              <w:t>应付服务费的15%；经过限期整改仍达不到良好情形的或拒不整改的，</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有权终止合同，</w:t>
            </w:r>
            <w:r>
              <w:rPr>
                <w:rFonts w:hint="eastAsia" w:ascii="宋体" w:hAnsi="宋体" w:eastAsia="宋体" w:cs="宋体"/>
                <w:b w:val="0"/>
                <w:bCs w:val="0"/>
                <w:sz w:val="24"/>
                <w:szCs w:val="24"/>
                <w:highlight w:val="none"/>
                <w:lang w:eastAsia="zh-CN"/>
              </w:rPr>
              <w:t>甲方</w:t>
            </w:r>
            <w:r>
              <w:rPr>
                <w:rFonts w:hint="eastAsia" w:ascii="宋体" w:hAnsi="宋体" w:eastAsia="宋体" w:cs="宋体"/>
                <w:b w:val="0"/>
                <w:bCs w:val="0"/>
                <w:sz w:val="24"/>
                <w:szCs w:val="24"/>
                <w:highlight w:val="none"/>
              </w:rPr>
              <w:t>相关损失由</w:t>
            </w:r>
            <w:r>
              <w:rPr>
                <w:rFonts w:hint="eastAsia" w:ascii="宋体" w:hAnsi="宋体" w:eastAsia="宋体" w:cs="宋体"/>
                <w:b w:val="0"/>
                <w:bCs w:val="0"/>
                <w:sz w:val="24"/>
                <w:szCs w:val="24"/>
                <w:highlight w:val="none"/>
                <w:lang w:eastAsia="zh-CN"/>
              </w:rPr>
              <w:t>乙方</w:t>
            </w:r>
            <w:r>
              <w:rPr>
                <w:rFonts w:hint="eastAsia" w:ascii="宋体" w:hAnsi="宋体" w:eastAsia="宋体" w:cs="宋体"/>
                <w:b w:val="0"/>
                <w:bCs w:val="0"/>
                <w:sz w:val="24"/>
                <w:szCs w:val="24"/>
                <w:highlight w:val="none"/>
              </w:rPr>
              <w:t>承担。</w:t>
            </w:r>
          </w:p>
        </w:tc>
      </w:tr>
      <w:tr w14:paraId="24395F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1"/>
          <w:wAfter w:w="10" w:type="dxa"/>
          <w:trHeight w:val="3311" w:hRule="atLeast"/>
        </w:trPr>
        <w:tc>
          <w:tcPr>
            <w:tcW w:w="3257" w:type="dxa"/>
            <w:gridSpan w:val="3"/>
            <w:tcBorders>
              <w:top w:val="single" w:color="auto" w:sz="8" w:space="0"/>
              <w:left w:val="single" w:color="auto" w:sz="8" w:space="0"/>
              <w:bottom w:val="single" w:color="auto" w:sz="4" w:space="0"/>
              <w:right w:val="single" w:color="auto" w:sz="8" w:space="0"/>
            </w:tcBorders>
            <w:noWrap w:val="0"/>
            <w:vAlign w:val="top"/>
          </w:tcPr>
          <w:p w14:paraId="14747345">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szCs w:val="24"/>
                <w:highlight w:val="none"/>
                <w:lang w:val="en-US" w:eastAsia="zh-CN"/>
              </w:rPr>
              <w:t>检查人：</w:t>
            </w:r>
          </w:p>
        </w:tc>
        <w:tc>
          <w:tcPr>
            <w:tcW w:w="6475" w:type="dxa"/>
            <w:gridSpan w:val="4"/>
            <w:tcBorders>
              <w:top w:val="single" w:color="auto" w:sz="8" w:space="0"/>
              <w:left w:val="single" w:color="auto" w:sz="8" w:space="0"/>
              <w:bottom w:val="single" w:color="auto" w:sz="4" w:space="0"/>
              <w:right w:val="single" w:color="auto" w:sz="8" w:space="0"/>
            </w:tcBorders>
            <w:noWrap w:val="0"/>
            <w:vAlign w:val="top"/>
          </w:tcPr>
          <w:p w14:paraId="01334007">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leftChars="0" w:firstLine="0" w:firstLineChars="0"/>
              <w:jc w:val="both"/>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被考核单位确认签字盖章：</w:t>
            </w:r>
          </w:p>
        </w:tc>
      </w:tr>
    </w:tbl>
    <w:p w14:paraId="1BE91C32">
      <w:pPr>
        <w:widowControl/>
        <w:numPr>
          <w:ilvl w:val="0"/>
          <w:numId w:val="0"/>
        </w:numPr>
        <w:spacing w:line="360" w:lineRule="auto"/>
        <w:ind w:leftChars="200"/>
        <w:jc w:val="left"/>
        <w:rPr>
          <w:rFonts w:hint="eastAsia" w:ascii="宋体" w:hAnsi="宋体" w:cs="宋体"/>
          <w:spacing w:val="-1"/>
          <w:sz w:val="24"/>
          <w:szCs w:val="24"/>
          <w:lang w:val="en-US" w:eastAsia="zh-CN"/>
        </w:rPr>
      </w:pPr>
    </w:p>
    <w:p w14:paraId="248B27F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heme="minorEastAsia" w:hAnsiTheme="minorEastAsia" w:eastAsiaTheme="minorEastAsia" w:cstheme="minorEastAsia"/>
          <w:sz w:val="28"/>
          <w:szCs w:val="28"/>
          <w:lang w:val="en-US" w:eastAsia="zh-CN"/>
        </w:rPr>
      </w:pPr>
    </w:p>
    <w:p w14:paraId="2F3FB468">
      <w:pPr>
        <w:keepNext w:val="0"/>
        <w:keepLines w:val="0"/>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28375FE3">
      <w:pPr>
        <w:pStyle w:val="2"/>
        <w:pageBreakBefore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eastAsia="宋体"/>
          <w:b w:val="0"/>
          <w:bCs w:val="0"/>
          <w:color w:val="000000"/>
        </w:rPr>
      </w:pPr>
      <w:r>
        <w:rPr>
          <w:rFonts w:hint="eastAsia" w:ascii="Arial" w:hAnsi="Arial" w:eastAsia="宋体" w:cs="Times New Roman"/>
          <w:b w:val="0"/>
          <w:bCs w:val="0"/>
          <w:color w:val="000000"/>
          <w:kern w:val="44"/>
          <w:sz w:val="36"/>
          <w:szCs w:val="44"/>
          <w:lang w:val="en-US" w:eastAsia="zh-CN" w:bidi="ar-SA"/>
        </w:rPr>
        <w:t>第五部分</w:t>
      </w:r>
      <w:r>
        <w:rPr>
          <w:rFonts w:hint="eastAsia" w:cs="Times New Roman"/>
          <w:b w:val="0"/>
          <w:bCs w:val="0"/>
          <w:color w:val="000000"/>
          <w:kern w:val="44"/>
          <w:sz w:val="36"/>
          <w:szCs w:val="44"/>
          <w:lang w:val="en-US" w:eastAsia="zh-CN" w:bidi="ar-SA"/>
        </w:rPr>
        <w:t xml:space="preserve">  </w:t>
      </w:r>
      <w:r>
        <w:rPr>
          <w:rFonts w:hint="eastAsia" w:eastAsia="宋体"/>
          <w:b w:val="0"/>
          <w:bCs w:val="0"/>
          <w:color w:val="000000"/>
        </w:rPr>
        <w:t>询比采购投标文件格式</w:t>
      </w:r>
      <w:bookmarkEnd w:id="39"/>
    </w:p>
    <w:p w14:paraId="3473734C">
      <w:pPr>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rPr>
      </w:pPr>
    </w:p>
    <w:p w14:paraId="744131C4">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bookmarkStart w:id="40" w:name="_Toc11197"/>
      <w:r>
        <w:rPr>
          <w:rFonts w:hint="eastAsia"/>
          <w:color w:val="000000"/>
        </w:rPr>
        <w:t>询比采购投标文件密封袋封面格式</w:t>
      </w:r>
      <w:bookmarkEnd w:id="40"/>
    </w:p>
    <w:p w14:paraId="29B8F48D">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rPr>
        <w:t>文件编号：</w:t>
      </w:r>
    </w:p>
    <w:p w14:paraId="66FE5CA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122257E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1F650C8A">
      <w:pPr>
        <w:pageBreakBefore w:val="0"/>
        <w:kinsoku/>
        <w:wordWrap/>
        <w:overflowPunct/>
        <w:topLinePunct w:val="0"/>
        <w:autoSpaceDE/>
        <w:autoSpaceDN/>
        <w:bidi w:val="0"/>
        <w:adjustRightInd/>
        <w:snapToGrid/>
        <w:spacing w:line="560" w:lineRule="exact"/>
        <w:textAlignment w:val="auto"/>
        <w:rPr>
          <w:rFonts w:ascii="黑体" w:eastAsia="黑体"/>
          <w:iCs/>
          <w:color w:val="000000"/>
          <w:sz w:val="44"/>
          <w:szCs w:val="44"/>
        </w:rPr>
      </w:pPr>
    </w:p>
    <w:p w14:paraId="297ECAF2">
      <w:pPr>
        <w:pageBreakBefore w:val="0"/>
        <w:kinsoku/>
        <w:wordWrap/>
        <w:overflowPunct/>
        <w:topLinePunct w:val="0"/>
        <w:autoSpaceDE/>
        <w:autoSpaceDN/>
        <w:bidi w:val="0"/>
        <w:adjustRightInd/>
        <w:snapToGrid/>
        <w:spacing w:line="560" w:lineRule="exact"/>
        <w:ind w:right="-163"/>
        <w:jc w:val="center"/>
        <w:textAlignment w:val="auto"/>
        <w:rPr>
          <w:rFonts w:hint="eastAsia" w:ascii="黑体" w:eastAsia="黑体"/>
          <w:b/>
          <w:bCs/>
          <w:iCs/>
          <w:color w:val="000000"/>
          <w:sz w:val="56"/>
          <w:szCs w:val="56"/>
          <w:lang w:val="en-US" w:eastAsia="zh-CN"/>
        </w:rPr>
      </w:pPr>
      <w:r>
        <w:rPr>
          <w:rFonts w:hint="eastAsia" w:ascii="黑体" w:eastAsia="黑体"/>
          <w:b/>
          <w:bCs/>
          <w:iCs/>
          <w:color w:val="000000"/>
          <w:sz w:val="56"/>
          <w:szCs w:val="56"/>
          <w:lang w:val="en-US" w:eastAsia="zh-CN"/>
        </w:rPr>
        <w:t>张家口霖辉物业管理集团有限公司</w:t>
      </w:r>
    </w:p>
    <w:p w14:paraId="7935069A">
      <w:pPr>
        <w:spacing w:line="288" w:lineRule="auto"/>
        <w:ind w:right="-163"/>
        <w:jc w:val="center"/>
        <w:rPr>
          <w:rFonts w:hint="default" w:ascii="楷体" w:hAnsi="楷体" w:eastAsia="楷体" w:cs="楷体_GB2312"/>
          <w:b/>
          <w:w w:val="90"/>
          <w:kern w:val="52"/>
          <w:sz w:val="52"/>
          <w:szCs w:val="52"/>
          <w:lang w:val="en-US" w:eastAsia="zh-CN"/>
        </w:rPr>
      </w:pPr>
      <w:r>
        <w:rPr>
          <w:rFonts w:hint="eastAsia" w:ascii="黑体" w:hAnsi="黑体" w:eastAsia="黑体" w:cs="黑体"/>
          <w:b/>
          <w:w w:val="90"/>
          <w:kern w:val="52"/>
          <w:sz w:val="52"/>
          <w:szCs w:val="52"/>
          <w:lang w:val="en-US" w:eastAsia="zh-CN"/>
        </w:rPr>
        <w:t>张家口产业投资控股集团有限公司保洁   服务项目</w:t>
      </w:r>
    </w:p>
    <w:p w14:paraId="36679978">
      <w:pPr>
        <w:pageBreakBefore w:val="0"/>
        <w:kinsoku/>
        <w:wordWrap/>
        <w:overflowPunct/>
        <w:topLinePunct w:val="0"/>
        <w:autoSpaceDE/>
        <w:autoSpaceDN/>
        <w:bidi w:val="0"/>
        <w:adjustRightInd/>
        <w:snapToGrid/>
        <w:spacing w:line="560" w:lineRule="exact"/>
        <w:jc w:val="center"/>
        <w:textAlignment w:val="auto"/>
        <w:rPr>
          <w:rFonts w:hint="eastAsia" w:ascii="黑体" w:eastAsia="黑体"/>
          <w:color w:val="000000"/>
          <w:sz w:val="30"/>
          <w:szCs w:val="30"/>
        </w:rPr>
      </w:pPr>
    </w:p>
    <w:p w14:paraId="614A8586">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rPr>
      </w:pPr>
    </w:p>
    <w:p w14:paraId="26C2DBEB">
      <w:pPr>
        <w:pageBreakBefore w:val="0"/>
        <w:kinsoku/>
        <w:wordWrap/>
        <w:overflowPunct/>
        <w:topLinePunct w:val="0"/>
        <w:autoSpaceDE/>
        <w:autoSpaceDN/>
        <w:bidi w:val="0"/>
        <w:adjustRightInd/>
        <w:snapToGrid/>
        <w:spacing w:line="560" w:lineRule="exact"/>
        <w:jc w:val="center"/>
        <w:textAlignment w:val="auto"/>
        <w:rPr>
          <w:rFonts w:hint="eastAsia" w:ascii="黑体" w:eastAsia="黑体"/>
          <w:color w:val="000000"/>
          <w:sz w:val="30"/>
          <w:szCs w:val="30"/>
        </w:rPr>
      </w:pPr>
    </w:p>
    <w:p w14:paraId="29AFBECC">
      <w:pPr>
        <w:pageBreakBefore w:val="0"/>
        <w:kinsoku/>
        <w:wordWrap/>
        <w:overflowPunct/>
        <w:topLinePunct w:val="0"/>
        <w:autoSpaceDE/>
        <w:autoSpaceDN/>
        <w:bidi w:val="0"/>
        <w:adjustRightInd/>
        <w:snapToGrid/>
        <w:spacing w:line="560" w:lineRule="exact"/>
        <w:ind w:firstLine="435"/>
        <w:jc w:val="center"/>
        <w:textAlignment w:val="auto"/>
        <w:rPr>
          <w:rFonts w:hint="eastAsia" w:ascii="黑体" w:hAnsi="宋体" w:eastAsia="黑体"/>
          <w:b/>
          <w:color w:val="000000"/>
          <w:sz w:val="56"/>
          <w:szCs w:val="56"/>
        </w:rPr>
      </w:pPr>
      <w:r>
        <w:rPr>
          <w:rFonts w:hint="eastAsia" w:ascii="黑体" w:hAnsi="宋体" w:eastAsia="黑体"/>
          <w:b/>
          <w:color w:val="000000"/>
          <w:sz w:val="56"/>
          <w:szCs w:val="56"/>
        </w:rPr>
        <w:t>询比采购投标文件</w:t>
      </w:r>
    </w:p>
    <w:p w14:paraId="26D7DA75">
      <w:pPr>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44"/>
          <w:szCs w:val="44"/>
        </w:rPr>
      </w:pPr>
    </w:p>
    <w:p w14:paraId="6106524D">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5D41B59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投标人：</w:t>
      </w:r>
      <w:r>
        <w:rPr>
          <w:rFonts w:hint="eastAsia" w:ascii="宋体" w:hAnsi="宋体"/>
          <w:color w:val="000000"/>
          <w:sz w:val="24"/>
          <w:szCs w:val="24"/>
          <w:u w:val="single"/>
        </w:rPr>
        <w:t>（公章）</w:t>
      </w:r>
    </w:p>
    <w:p w14:paraId="305B08C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投标日期：</w:t>
      </w:r>
    </w:p>
    <w:p w14:paraId="265116C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标书类型：</w:t>
      </w:r>
      <w:r>
        <w:rPr>
          <w:rFonts w:hint="eastAsia" w:ascii="宋体" w:hAnsi="宋体"/>
          <w:color w:val="000000"/>
          <w:sz w:val="24"/>
          <w:szCs w:val="24"/>
          <w:u w:val="single"/>
        </w:rPr>
        <w:t>（壹）正（壹）副本（壹）电子版</w:t>
      </w:r>
    </w:p>
    <w:p w14:paraId="31185A03">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32"/>
          <w:szCs w:val="32"/>
          <w:u w:val="single"/>
        </w:rPr>
      </w:pPr>
    </w:p>
    <w:p w14:paraId="594579E4">
      <w:pPr>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b/>
          <w:color w:val="000000"/>
          <w:sz w:val="24"/>
          <w:szCs w:val="24"/>
        </w:rPr>
      </w:pPr>
      <w:r>
        <w:rPr>
          <w:rFonts w:hint="eastAsia" w:ascii="宋体" w:hAnsi="宋体"/>
          <w:b/>
          <w:color w:val="000000"/>
          <w:sz w:val="24"/>
          <w:szCs w:val="24"/>
        </w:rPr>
        <w:t>注：在标书外封面上注明截止日期前不得启封字样，供应商必须按提供的询比采购投标文件密封袋封面格式制作询比采购投标文件密封袋封面，密封袋封面必须加盖清晰的投标单位公章及法人章。</w:t>
      </w:r>
    </w:p>
    <w:p w14:paraId="05D374F3">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bookmarkStart w:id="41" w:name="_Toc29384"/>
      <w:r>
        <w:rPr>
          <w:rFonts w:hint="eastAsia"/>
          <w:color w:val="000000"/>
        </w:rPr>
        <w:t>询比采购投标文件封面格式</w:t>
      </w:r>
      <w:bookmarkEnd w:id="41"/>
    </w:p>
    <w:p w14:paraId="7D7931D7">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r>
        <w:rPr>
          <w:rFonts w:hint="eastAsia" w:ascii="宋体" w:hAnsi="宋体"/>
          <w:color w:val="000000"/>
          <w:sz w:val="24"/>
        </w:rPr>
        <w:t>文件编号：</w:t>
      </w:r>
    </w:p>
    <w:p w14:paraId="04D2870F">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71DA4EF">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p>
    <w:p w14:paraId="64004255">
      <w:pPr>
        <w:pageBreakBefore w:val="0"/>
        <w:kinsoku/>
        <w:wordWrap/>
        <w:overflowPunct/>
        <w:topLinePunct w:val="0"/>
        <w:autoSpaceDE/>
        <w:autoSpaceDN/>
        <w:bidi w:val="0"/>
        <w:adjustRightInd/>
        <w:snapToGrid/>
        <w:spacing w:line="560" w:lineRule="exact"/>
        <w:textAlignment w:val="auto"/>
        <w:rPr>
          <w:rFonts w:hint="eastAsia" w:ascii="宋体" w:hAnsi="宋体"/>
          <w:b/>
          <w:bCs/>
          <w:color w:val="000000"/>
          <w:sz w:val="56"/>
          <w:szCs w:val="56"/>
        </w:rPr>
      </w:pPr>
    </w:p>
    <w:p w14:paraId="363EBF8A">
      <w:pPr>
        <w:pageBreakBefore w:val="0"/>
        <w:kinsoku/>
        <w:wordWrap/>
        <w:overflowPunct/>
        <w:topLinePunct w:val="0"/>
        <w:autoSpaceDE/>
        <w:autoSpaceDN/>
        <w:bidi w:val="0"/>
        <w:adjustRightInd/>
        <w:snapToGrid/>
        <w:spacing w:line="560" w:lineRule="exact"/>
        <w:ind w:right="-163"/>
        <w:jc w:val="center"/>
        <w:textAlignment w:val="auto"/>
        <w:rPr>
          <w:rFonts w:hint="eastAsia" w:ascii="黑体" w:eastAsia="黑体"/>
          <w:b/>
          <w:bCs/>
          <w:iCs/>
          <w:color w:val="000000"/>
          <w:sz w:val="56"/>
          <w:szCs w:val="56"/>
          <w:lang w:val="en-US" w:eastAsia="zh-CN"/>
        </w:rPr>
      </w:pPr>
      <w:r>
        <w:rPr>
          <w:rFonts w:hint="eastAsia" w:ascii="黑体" w:eastAsia="黑体"/>
          <w:b/>
          <w:bCs/>
          <w:iCs/>
          <w:color w:val="000000"/>
          <w:sz w:val="56"/>
          <w:szCs w:val="56"/>
          <w:lang w:val="en-US" w:eastAsia="zh-CN"/>
        </w:rPr>
        <w:t>张家口霖辉物业管理集团有限公司</w:t>
      </w:r>
    </w:p>
    <w:p w14:paraId="709EF30B">
      <w:pPr>
        <w:spacing w:line="288" w:lineRule="auto"/>
        <w:ind w:right="-163"/>
        <w:jc w:val="center"/>
        <w:rPr>
          <w:rFonts w:hint="default" w:ascii="楷体" w:hAnsi="楷体" w:eastAsia="楷体" w:cs="楷体_GB2312"/>
          <w:b/>
          <w:w w:val="90"/>
          <w:kern w:val="52"/>
          <w:sz w:val="52"/>
          <w:szCs w:val="52"/>
          <w:lang w:val="en-US" w:eastAsia="zh-CN"/>
        </w:rPr>
      </w:pPr>
      <w:r>
        <w:rPr>
          <w:rFonts w:hint="eastAsia" w:ascii="黑体" w:hAnsi="黑体" w:eastAsia="黑体" w:cs="黑体"/>
          <w:b/>
          <w:w w:val="90"/>
          <w:kern w:val="52"/>
          <w:sz w:val="52"/>
          <w:szCs w:val="52"/>
          <w:lang w:val="en-US" w:eastAsia="zh-CN"/>
        </w:rPr>
        <w:t>张家口产业投资控股集团有限公司保洁   服务项目</w:t>
      </w:r>
    </w:p>
    <w:p w14:paraId="438242E3">
      <w:pPr>
        <w:pageBreakBefore w:val="0"/>
        <w:kinsoku/>
        <w:wordWrap/>
        <w:overflowPunct/>
        <w:topLinePunct w:val="0"/>
        <w:autoSpaceDE/>
        <w:autoSpaceDN/>
        <w:bidi w:val="0"/>
        <w:adjustRightInd/>
        <w:snapToGrid/>
        <w:spacing w:line="560" w:lineRule="exact"/>
        <w:textAlignment w:val="auto"/>
        <w:rPr>
          <w:rFonts w:hint="eastAsia" w:ascii="宋体" w:hAnsi="宋体"/>
          <w:b/>
          <w:bCs/>
          <w:color w:val="000000"/>
          <w:sz w:val="56"/>
          <w:szCs w:val="56"/>
        </w:rPr>
      </w:pPr>
    </w:p>
    <w:p w14:paraId="59B9E45F">
      <w:pPr>
        <w:pageBreakBefore w:val="0"/>
        <w:kinsoku/>
        <w:wordWrap/>
        <w:overflowPunct/>
        <w:topLinePunct w:val="0"/>
        <w:autoSpaceDE/>
        <w:autoSpaceDN/>
        <w:bidi w:val="0"/>
        <w:adjustRightInd/>
        <w:snapToGrid/>
        <w:spacing w:line="560" w:lineRule="exact"/>
        <w:textAlignment w:val="auto"/>
        <w:rPr>
          <w:rFonts w:hint="eastAsia" w:ascii="宋体" w:hAnsi="宋体"/>
          <w:b/>
          <w:bCs/>
          <w:color w:val="000000"/>
          <w:sz w:val="56"/>
          <w:szCs w:val="56"/>
        </w:rPr>
      </w:pPr>
    </w:p>
    <w:p w14:paraId="340A4E5D">
      <w:pPr>
        <w:pageBreakBefore w:val="0"/>
        <w:kinsoku/>
        <w:wordWrap/>
        <w:overflowPunct/>
        <w:topLinePunct w:val="0"/>
        <w:autoSpaceDE/>
        <w:autoSpaceDN/>
        <w:bidi w:val="0"/>
        <w:adjustRightInd/>
        <w:snapToGrid/>
        <w:spacing w:line="560" w:lineRule="exact"/>
        <w:ind w:firstLine="435"/>
        <w:jc w:val="center"/>
        <w:textAlignment w:val="auto"/>
        <w:rPr>
          <w:rFonts w:hint="eastAsia" w:ascii="黑体" w:hAnsi="宋体" w:eastAsia="黑体"/>
          <w:b/>
          <w:bCs/>
          <w:color w:val="000000"/>
          <w:sz w:val="56"/>
          <w:szCs w:val="56"/>
        </w:rPr>
      </w:pPr>
      <w:r>
        <w:rPr>
          <w:rFonts w:hint="eastAsia" w:ascii="黑体" w:hAnsi="宋体" w:eastAsia="黑体"/>
          <w:b/>
          <w:bCs/>
          <w:color w:val="000000"/>
          <w:sz w:val="56"/>
          <w:szCs w:val="56"/>
        </w:rPr>
        <w:t>询比采购投标文件</w:t>
      </w:r>
    </w:p>
    <w:p w14:paraId="5DB9B06B">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09B44490">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A8EEDBD">
      <w:pPr>
        <w:pageBreakBefore w:val="0"/>
        <w:kinsoku/>
        <w:wordWrap/>
        <w:overflowPunct/>
        <w:topLinePunct w:val="0"/>
        <w:autoSpaceDE/>
        <w:autoSpaceDN/>
        <w:bidi w:val="0"/>
        <w:adjustRightInd/>
        <w:snapToGrid/>
        <w:spacing w:line="560" w:lineRule="exact"/>
        <w:ind w:firstLine="435"/>
        <w:textAlignment w:val="auto"/>
        <w:rPr>
          <w:rFonts w:hint="eastAsia" w:ascii="宋体" w:hAnsi="宋体"/>
          <w:color w:val="000000"/>
          <w:sz w:val="24"/>
        </w:rPr>
      </w:pPr>
    </w:p>
    <w:p w14:paraId="5ED3DB4F">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bookmarkStart w:id="42" w:name="_Toc362532553"/>
      <w:bookmarkStart w:id="43" w:name="_Toc358906043"/>
      <w:bookmarkStart w:id="44" w:name="_Toc357776763"/>
      <w:bookmarkStart w:id="45" w:name="_Toc10947"/>
      <w:r>
        <w:rPr>
          <w:rFonts w:hint="eastAsia" w:asciiTheme="minorEastAsia" w:hAnsiTheme="minorEastAsia" w:eastAsiaTheme="minorEastAsia" w:cstheme="minorEastAsia"/>
          <w:color w:val="000000"/>
          <w:sz w:val="24"/>
          <w:szCs w:val="24"/>
        </w:rPr>
        <w:t>采购人：</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p>
    <w:p w14:paraId="700F8BF4">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投标人：</w:t>
      </w:r>
      <w:r>
        <w:rPr>
          <w:rFonts w:hint="eastAsia" w:asciiTheme="minorEastAsia" w:hAnsiTheme="minorEastAsia" w:eastAsiaTheme="minorEastAsia" w:cstheme="minorEastAsia"/>
          <w:color w:val="000000"/>
          <w:sz w:val="24"/>
          <w:szCs w:val="24"/>
          <w:u w:val="single"/>
        </w:rPr>
        <w:t>（公章）</w:t>
      </w:r>
    </w:p>
    <w:p w14:paraId="117F61AA">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地址：</w:t>
      </w:r>
    </w:p>
    <w:p w14:paraId="3687FA8B">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color w:val="000000"/>
          <w:sz w:val="24"/>
          <w:szCs w:val="24"/>
          <w:u w:val="single"/>
        </w:rPr>
        <w:t>（签字）</w:t>
      </w:r>
    </w:p>
    <w:p w14:paraId="2CD928F1">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联系电话：</w:t>
      </w:r>
    </w:p>
    <w:p w14:paraId="48B79A9D">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投标日期：</w:t>
      </w:r>
    </w:p>
    <w:p w14:paraId="2E26AF0E">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标书类型：</w:t>
      </w:r>
      <w:r>
        <w:rPr>
          <w:rFonts w:hint="eastAsia" w:asciiTheme="minorEastAsia" w:hAnsiTheme="minorEastAsia" w:eastAsiaTheme="minorEastAsia" w:cstheme="minorEastAsia"/>
          <w:color w:val="000000"/>
          <w:sz w:val="24"/>
          <w:szCs w:val="24"/>
          <w:u w:val="single"/>
        </w:rPr>
        <w:t>正本（或副本）</w:t>
      </w:r>
    </w:p>
    <w:p w14:paraId="6AAD948F">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注：供应商必须按招标人提供的询比采购投标文件封面格式制作询比采购投标文件封面。</w:t>
      </w:r>
    </w:p>
    <w:p w14:paraId="102AAED0">
      <w:pPr>
        <w:pStyle w:val="3"/>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供应商诚信承诺书</w:t>
      </w:r>
    </w:p>
    <w:p w14:paraId="0E8EE11A">
      <w:pPr>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供应商诚信承诺书</w:t>
      </w:r>
    </w:p>
    <w:p w14:paraId="7F804FFB">
      <w:pPr>
        <w:rPr>
          <w:rFonts w:hint="eastAsia"/>
        </w:rPr>
      </w:pPr>
    </w:p>
    <w:p w14:paraId="30C1EEB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lang w:val="en-US" w:eastAsia="zh-CN"/>
        </w:rPr>
        <w:t>张家口霖辉物业管理集团有限公司</w:t>
      </w:r>
      <w:r>
        <w:rPr>
          <w:rFonts w:hint="eastAsia" w:ascii="宋体" w:hAnsi="宋体"/>
          <w:color w:val="000000"/>
          <w:sz w:val="24"/>
          <w:szCs w:val="24"/>
        </w:rPr>
        <w:t>：</w:t>
      </w:r>
    </w:p>
    <w:p w14:paraId="4F3C6F95">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b/>
          <w:color w:val="000000"/>
          <w:sz w:val="24"/>
          <w:szCs w:val="24"/>
        </w:rPr>
      </w:pPr>
      <w:r>
        <w:rPr>
          <w:rFonts w:hint="eastAsia" w:ascii="宋体" w:hAnsi="宋体"/>
          <w:color w:val="000000"/>
          <w:sz w:val="24"/>
          <w:szCs w:val="24"/>
        </w:rPr>
        <w:t>我公司自愿参与贵公司组织的</w:t>
      </w:r>
      <w:r>
        <w:rPr>
          <w:rFonts w:hint="eastAsia" w:ascii="宋体" w:hAnsi="宋体"/>
          <w:color w:val="000000"/>
          <w:sz w:val="24"/>
          <w:szCs w:val="24"/>
          <w:u w:val="single"/>
        </w:rPr>
        <w:t>（文件编号：）</w:t>
      </w:r>
      <w:r>
        <w:rPr>
          <w:rFonts w:hint="eastAsia" w:ascii="宋体" w:hAnsi="宋体"/>
          <w:color w:val="000000"/>
          <w:sz w:val="24"/>
          <w:szCs w:val="24"/>
        </w:rPr>
        <w:t>采购活动，严格遵守《中华人民共和国政府采购法》、《张家口市政府采购供应商诚信行为管理暂行办法》（张财字[2009]255号）的相关规定，坚守公平竞争，并无条件地遵守本次采购活动各项规定。</w:t>
      </w:r>
      <w:r>
        <w:rPr>
          <w:rFonts w:hint="eastAsia" w:ascii="宋体" w:hAnsi="宋体"/>
          <w:b/>
          <w:color w:val="000000"/>
          <w:sz w:val="24"/>
          <w:szCs w:val="24"/>
        </w:rPr>
        <w:t>我们郑重承诺：如果在本次招标活动中有以下情形的，愿意接受政府采购监管等部门给予相关处罚并承担法律责任。</w:t>
      </w:r>
    </w:p>
    <w:p w14:paraId="298A12B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（一）提供虚假材料谋取中标（中标）的；</w:t>
      </w:r>
    </w:p>
    <w:p w14:paraId="341F3D2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（二）采取不正当手段诋毁、排挤其他供应商的；</w:t>
      </w:r>
    </w:p>
    <w:p w14:paraId="2B1D8ED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（三）与采购人、其他供应商或者采购招标人恶意串通的；</w:t>
      </w:r>
    </w:p>
    <w:p w14:paraId="2330C05D">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（四）向采购单位或责任人行贿或提供其他不正当利益的；</w:t>
      </w:r>
    </w:p>
    <w:p w14:paraId="10E086C9">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（五）在招标采购过程中与招标采购单位进行协商谈判或者与采购人另行订立背离合同实质性内容协议的；</w:t>
      </w:r>
    </w:p>
    <w:p w14:paraId="5B14AF43">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（六）开标后擅自撤销投标，影响招标继续进行的；</w:t>
      </w:r>
    </w:p>
    <w:p w14:paraId="5E817538">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（七）无正当理由，在规定时间内不与采购单位签订合同的；</w:t>
      </w:r>
    </w:p>
    <w:p w14:paraId="0D7FF488">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（八）将中标项目转让给他人或非法分包他人的；</w:t>
      </w:r>
    </w:p>
    <w:p w14:paraId="4E80307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（九）无正当理由，拒绝履行合同义务的；</w:t>
      </w:r>
    </w:p>
    <w:p w14:paraId="35E9043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（十）擅自在合同履行有效期内降低中标货物配置、技术指标等级或质量等级、更换品牌、弄虚作假等或终止政府采购合同的；</w:t>
      </w:r>
    </w:p>
    <w:p w14:paraId="1894604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（十一）无正当理由放弃中标（中标）项目的；</w:t>
      </w:r>
    </w:p>
    <w:p w14:paraId="19394A2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（十二）与采购人串通或接受采购人要求，在履约合同中通过减少货物数量，降低配置、技术要求、质量和服务标准等，却仍按原合同的数量、配置、技术要求、质量、服务标准等进行虚假验收的；</w:t>
      </w:r>
    </w:p>
    <w:p w14:paraId="14B96B2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（十三）与采购人串通，对尚未履约完毕的采购项目出具虚假验收报告的；</w:t>
      </w:r>
    </w:p>
    <w:p w14:paraId="6C936FA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（十四）无不可抗力因素，拒绝提供售后服务、售后服务态度恶劣、故意提高维修配件价格（高于市场平均价）的；</w:t>
      </w:r>
    </w:p>
    <w:p w14:paraId="2C1AD24D">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（十五）投标后对询比采购文件的相关内容再进行质疑的；</w:t>
      </w:r>
    </w:p>
    <w:p w14:paraId="031C13FE">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（十六）恶意投诉的行为：投诉经查无实据的、捏造事实或者提供虚假投诉材料的；</w:t>
      </w:r>
    </w:p>
    <w:p w14:paraId="50D636E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（十七）拒绝有关部门监督检查或者提供虚假情况的；</w:t>
      </w:r>
    </w:p>
    <w:p w14:paraId="08003F5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（十八）财政、监察部门认定的其他不诚信行为。</w:t>
      </w:r>
    </w:p>
    <w:p w14:paraId="0D49779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公司名称:（盖章）</w:t>
      </w:r>
    </w:p>
    <w:p w14:paraId="473C9B1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法定代表人（签字）：</w:t>
      </w:r>
    </w:p>
    <w:p w14:paraId="240DE4EE">
      <w:pPr>
        <w:pageBreakBefore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ascii="宋体" w:hAnsi="宋体"/>
          <w:color w:val="000000"/>
          <w:sz w:val="24"/>
          <w:szCs w:val="24"/>
        </w:rPr>
        <w:t>年月日</w:t>
      </w:r>
      <w:bookmarkStart w:id="46" w:name="_Toc28013"/>
    </w:p>
    <w:p w14:paraId="66D376CF">
      <w:pPr>
        <w:rPr>
          <w:rFonts w:hint="eastAsia"/>
          <w:color w:val="000000"/>
        </w:rPr>
      </w:pPr>
      <w:r>
        <w:rPr>
          <w:rFonts w:hint="eastAsia"/>
          <w:color w:val="000000"/>
        </w:rPr>
        <w:br w:type="page"/>
      </w:r>
    </w:p>
    <w:p w14:paraId="75C55F38">
      <w:pPr>
        <w:pStyle w:val="3"/>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24"/>
          <w:szCs w:val="24"/>
        </w:rPr>
      </w:pPr>
      <w:r>
        <w:rPr>
          <w:rFonts w:hint="eastAsia"/>
          <w:color w:val="000000"/>
          <w:sz w:val="24"/>
          <w:szCs w:val="24"/>
        </w:rPr>
        <w:t>投标函格式</w:t>
      </w:r>
      <w:bookmarkEnd w:id="46"/>
    </w:p>
    <w:p w14:paraId="46A7FB63">
      <w:pPr>
        <w:pageBreakBefore w:val="0"/>
        <w:kinsoku/>
        <w:wordWrap/>
        <w:overflowPunct/>
        <w:topLinePunct w:val="0"/>
        <w:autoSpaceDE/>
        <w:autoSpaceDN/>
        <w:bidi w:val="0"/>
        <w:adjustRightInd/>
        <w:snapToGrid/>
        <w:spacing w:line="560" w:lineRule="exact"/>
        <w:ind w:firstLine="435"/>
        <w:jc w:val="center"/>
        <w:textAlignment w:val="auto"/>
        <w:rPr>
          <w:rFonts w:hint="eastAsia" w:ascii="宋体" w:hAnsi="宋体"/>
          <w:b/>
          <w:color w:val="000000"/>
          <w:sz w:val="24"/>
          <w:szCs w:val="24"/>
        </w:rPr>
      </w:pPr>
      <w:r>
        <w:rPr>
          <w:rFonts w:hint="eastAsia" w:ascii="宋体" w:hAnsi="宋体"/>
          <w:b/>
          <w:color w:val="000000"/>
          <w:sz w:val="24"/>
          <w:szCs w:val="24"/>
        </w:rPr>
        <w:t>投标函</w:t>
      </w:r>
    </w:p>
    <w:p w14:paraId="05F9F653">
      <w:pPr>
        <w:pageBreakBefore w:val="0"/>
        <w:kinsoku/>
        <w:wordWrap/>
        <w:overflowPunct/>
        <w:topLinePunct w:val="0"/>
        <w:autoSpaceDE/>
        <w:autoSpaceDN/>
        <w:bidi w:val="0"/>
        <w:adjustRightInd/>
        <w:snapToGrid/>
        <w:spacing w:line="560" w:lineRule="exact"/>
        <w:ind w:firstLine="435"/>
        <w:jc w:val="center"/>
        <w:textAlignment w:val="auto"/>
        <w:rPr>
          <w:rFonts w:hint="eastAsia" w:ascii="宋体" w:hAnsi="宋体"/>
          <w:b/>
          <w:color w:val="000000"/>
          <w:sz w:val="24"/>
          <w:szCs w:val="24"/>
        </w:rPr>
      </w:pPr>
    </w:p>
    <w:p w14:paraId="56B7FAC4">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lang w:val="en-US" w:eastAsia="zh-CN"/>
        </w:rPr>
        <w:t>张家口霖辉物业管理集团有限公司</w:t>
      </w:r>
    </w:p>
    <w:p w14:paraId="6798870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根据贵方</w:t>
      </w:r>
      <w:r>
        <w:rPr>
          <w:rFonts w:hint="eastAsia" w:ascii="宋体" w:hAnsi="宋体"/>
          <w:iCs/>
          <w:color w:val="000000"/>
          <w:sz w:val="24"/>
          <w:szCs w:val="24"/>
          <w:u w:val="single"/>
          <w:lang w:val="en-US" w:eastAsia="zh-CN"/>
        </w:rPr>
        <w:t>（项目名称）</w:t>
      </w:r>
      <w:r>
        <w:rPr>
          <w:rFonts w:hint="eastAsia" w:ascii="宋体" w:hAnsi="宋体"/>
          <w:color w:val="000000"/>
          <w:sz w:val="24"/>
          <w:szCs w:val="24"/>
        </w:rPr>
        <w:t>询比采购文件</w:t>
      </w:r>
      <w:r>
        <w:rPr>
          <w:rFonts w:hint="eastAsia" w:ascii="宋体" w:hAnsi="宋体"/>
          <w:color w:val="000000"/>
          <w:sz w:val="24"/>
          <w:szCs w:val="24"/>
          <w:u w:val="single"/>
        </w:rPr>
        <w:t>（项目编号：）</w:t>
      </w:r>
      <w:r>
        <w:rPr>
          <w:rFonts w:hint="eastAsia" w:ascii="宋体" w:hAnsi="宋体"/>
          <w:color w:val="000000"/>
          <w:sz w:val="24"/>
          <w:szCs w:val="24"/>
        </w:rPr>
        <w:t>，正式授权下述签字人</w:t>
      </w:r>
      <w:r>
        <w:rPr>
          <w:rFonts w:hint="eastAsia" w:ascii="宋体" w:hAnsi="宋体"/>
          <w:color w:val="000000"/>
          <w:sz w:val="24"/>
          <w:szCs w:val="24"/>
          <w:u w:val="single"/>
        </w:rPr>
        <w:t>(姓名和职务)</w:t>
      </w:r>
      <w:r>
        <w:rPr>
          <w:rFonts w:hint="eastAsia" w:ascii="宋体" w:hAnsi="宋体"/>
          <w:color w:val="000000"/>
          <w:sz w:val="24"/>
          <w:szCs w:val="24"/>
        </w:rPr>
        <w:t>代表供应商</w:t>
      </w:r>
      <w:r>
        <w:rPr>
          <w:rFonts w:hint="eastAsia" w:ascii="宋体" w:hAnsi="宋体"/>
          <w:color w:val="000000"/>
          <w:sz w:val="24"/>
          <w:szCs w:val="24"/>
          <w:u w:val="single"/>
        </w:rPr>
        <w:t>(供应商的名称)</w:t>
      </w:r>
      <w:r>
        <w:rPr>
          <w:rFonts w:hint="eastAsia" w:ascii="宋体" w:hAnsi="宋体"/>
          <w:color w:val="000000"/>
          <w:sz w:val="24"/>
          <w:szCs w:val="24"/>
        </w:rPr>
        <w:t>,提交询比采购投标文件。</w:t>
      </w:r>
    </w:p>
    <w:p w14:paraId="7B3D9B25">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据此函，签字人宣布同意如下：</w:t>
      </w:r>
    </w:p>
    <w:p w14:paraId="12A02A0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（1）按询比采购文件规定，</w:t>
      </w:r>
      <w:r>
        <w:rPr>
          <w:rFonts w:hint="eastAsia" w:ascii="宋体" w:hAnsi="宋体"/>
          <w:color w:val="000000"/>
          <w:sz w:val="24"/>
          <w:szCs w:val="24"/>
          <w:highlight w:val="none"/>
          <w:u w:val="single"/>
        </w:rPr>
        <w:t>(供应商的名称</w:t>
      </w:r>
      <w:r>
        <w:rPr>
          <w:rFonts w:hint="eastAsia" w:ascii="宋体" w:hAnsi="宋体"/>
          <w:color w:val="000000"/>
          <w:sz w:val="24"/>
          <w:szCs w:val="24"/>
          <w:highlight w:val="none"/>
          <w:u w:val="single"/>
          <w:lang w:eastAsia="zh-CN"/>
        </w:rPr>
        <w:t>）</w:t>
      </w:r>
      <w:r>
        <w:rPr>
          <w:rFonts w:hint="eastAsia" w:ascii="宋体" w:hAnsi="宋体"/>
          <w:color w:val="000000"/>
          <w:sz w:val="24"/>
          <w:szCs w:val="24"/>
        </w:rPr>
        <w:t>投标报价为：</w:t>
      </w:r>
    </w:p>
    <w:p w14:paraId="5F0E7EC8">
      <w:pPr>
        <w:pageBreakBefore w:val="0"/>
        <w:kinsoku/>
        <w:wordWrap/>
        <w:overflowPunct/>
        <w:topLinePunct w:val="0"/>
        <w:autoSpaceDE/>
        <w:autoSpaceDN/>
        <w:bidi w:val="0"/>
        <w:adjustRightInd/>
        <w:snapToGrid/>
        <w:spacing w:line="560" w:lineRule="exact"/>
        <w:ind w:firstLine="600" w:firstLineChars="250"/>
        <w:jc w:val="left"/>
        <w:textAlignment w:val="auto"/>
        <w:rPr>
          <w:rFonts w:hint="eastAsia" w:ascii="宋体" w:hAnsi="宋体" w:eastAsia="宋体"/>
          <w:color w:val="000000"/>
          <w:sz w:val="24"/>
          <w:szCs w:val="24"/>
          <w:lang w:eastAsia="zh-CN"/>
        </w:rPr>
      </w:pPr>
      <w:r>
        <w:rPr>
          <w:rFonts w:hint="eastAsia" w:ascii="宋体" w:hAnsi="宋体"/>
          <w:color w:val="000000"/>
          <w:sz w:val="24"/>
          <w:szCs w:val="24"/>
        </w:rPr>
        <w:t>人民币（小写）元；人民币（大写）：元；</w:t>
      </w:r>
    </w:p>
    <w:p w14:paraId="5681BD5F">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（2）我们承担询比采购文件规定的责任和义务；</w:t>
      </w:r>
    </w:p>
    <w:p w14:paraId="3CD7B34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（3）我们已详细阅读并理解全部询比采购文件，及其有效补充文件，我们知道必须放弃提出含糊不清或误解的权利；</w:t>
      </w:r>
    </w:p>
    <w:p w14:paraId="3FA725B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（4）我们同意从规定的开标日期起遵循本投标书，并在规定的投标有效期满之前均具有约束力；</w:t>
      </w:r>
    </w:p>
    <w:p w14:paraId="15D4B5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（5）如果在开标后规定的投标有效期内撤回投标或者有其他违约行为，我们的投标保证金可被全部没收；</w:t>
      </w:r>
    </w:p>
    <w:p w14:paraId="78844794">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（6）同意提供贵方可能另外要求的与本次招标有关的任何数据或资料；</w:t>
      </w:r>
    </w:p>
    <w:p w14:paraId="208918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（7）我们完全理解贵方不一定要接受最低报价的投标；</w:t>
      </w:r>
    </w:p>
    <w:p w14:paraId="046E946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（8）一旦我方中标，我们将根据询比采购文件的规定，严格按照《中华人民共和国政府采购法》、《中华人民共和国民法典》的规定履行自己的责任和义务；</w:t>
      </w:r>
    </w:p>
    <w:p w14:paraId="59D8A6A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（9）遵守询比采购文件中要求的收费项目和标准；</w:t>
      </w:r>
    </w:p>
    <w:p w14:paraId="5AA8DD5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（10）与本次投标有关的联系方式为：</w:t>
      </w:r>
    </w:p>
    <w:p w14:paraId="6E1ABD40">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地址：邮政编码：</w:t>
      </w:r>
    </w:p>
    <w:p w14:paraId="37D3F19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联系人：电话：传真：</w:t>
      </w:r>
    </w:p>
    <w:p w14:paraId="03297031">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法定代表人（签字）：</w:t>
      </w:r>
    </w:p>
    <w:p w14:paraId="4896963A">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供应商全称（公章）：</w:t>
      </w:r>
    </w:p>
    <w:p w14:paraId="37478F72">
      <w:pPr>
        <w:pageBreakBefore w:val="0"/>
        <w:kinsoku/>
        <w:wordWrap/>
        <w:overflowPunct/>
        <w:topLinePunct w:val="0"/>
        <w:autoSpaceDE/>
        <w:autoSpaceDN/>
        <w:bidi w:val="0"/>
        <w:adjustRightInd/>
        <w:snapToGrid/>
        <w:spacing w:line="560" w:lineRule="exact"/>
        <w:ind w:firstLine="5760" w:firstLineChars="2400"/>
        <w:jc w:val="left"/>
        <w:textAlignment w:val="auto"/>
        <w:rPr>
          <w:rFonts w:hint="eastAsia"/>
          <w:color w:val="000000"/>
          <w:sz w:val="24"/>
          <w:szCs w:val="24"/>
        </w:rPr>
      </w:pPr>
      <w:r>
        <w:rPr>
          <w:rFonts w:hint="eastAsia"/>
          <w:color w:val="000000"/>
          <w:sz w:val="24"/>
          <w:szCs w:val="24"/>
        </w:rPr>
        <w:t>年月日</w:t>
      </w:r>
    </w:p>
    <w:p w14:paraId="0507F697">
      <w:pPr>
        <w:pageBreakBefore w:val="0"/>
        <w:kinsoku/>
        <w:wordWrap/>
        <w:overflowPunct/>
        <w:topLinePunct w:val="0"/>
        <w:autoSpaceDE/>
        <w:autoSpaceDN/>
        <w:bidi w:val="0"/>
        <w:adjustRightInd/>
        <w:snapToGrid/>
        <w:spacing w:line="560" w:lineRule="exact"/>
        <w:textAlignment w:val="auto"/>
        <w:outlineLvl w:val="9"/>
        <w:rPr>
          <w:rFonts w:hint="eastAsia"/>
        </w:rPr>
      </w:pPr>
    </w:p>
    <w:p w14:paraId="1098586B">
      <w:pPr>
        <w:rPr>
          <w:rFonts w:hint="eastAsia"/>
          <w:color w:val="000000"/>
        </w:rPr>
      </w:pPr>
      <w:bookmarkStart w:id="47" w:name="_Toc28617"/>
      <w:r>
        <w:rPr>
          <w:rFonts w:hint="eastAsia"/>
          <w:color w:val="000000"/>
        </w:rPr>
        <w:br w:type="page"/>
      </w:r>
    </w:p>
    <w:p w14:paraId="1D253A0D">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投标报价表格式</w:t>
      </w:r>
      <w:bookmarkEnd w:id="47"/>
    </w:p>
    <w:p w14:paraId="30D92A1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0A7F11C0">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投标报价表</w:t>
      </w:r>
    </w:p>
    <w:p w14:paraId="16053D03">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金额单位：元</w:t>
      </w:r>
    </w:p>
    <w:tbl>
      <w:tblPr>
        <w:tblStyle w:val="15"/>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30"/>
        <w:gridCol w:w="1621"/>
        <w:gridCol w:w="1064"/>
        <w:gridCol w:w="1204"/>
        <w:gridCol w:w="1304"/>
        <w:gridCol w:w="1457"/>
      </w:tblGrid>
      <w:tr w14:paraId="2F24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7FEFF44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1C71C3B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名称</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4E81CE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数量</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55D3FE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B8DFCB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合价</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5D805B6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40D6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15E92F1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4F9409F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EADF5C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7FB3E6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55174C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16C324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2DDB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33A3846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177E125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5041AB1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791BBEF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BA81E8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81E750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D14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66B4216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3CBE4C6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447C46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1BE8202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B101BE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6F03FE9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512C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4A8C51D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5B0E36D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091AA9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321D2254">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762D28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450D7A5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45EC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149AB25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1EDCC2F2">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服务周期</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079D37E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2E94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FE2FC2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合计</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7ED6B92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p>
        </w:tc>
      </w:tr>
      <w:tr w14:paraId="4958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32222B">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19CD633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p>
        </w:tc>
      </w:tr>
    </w:tbl>
    <w:p w14:paraId="587B49C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注：</w:t>
      </w:r>
    </w:p>
    <w:p w14:paraId="670AA34F">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1、供应商应当按表中规定格式完整、清晰、正确填写投报产品的所有内容。</w:t>
      </w:r>
    </w:p>
    <w:p w14:paraId="15E3C43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2、投标报价表中不得填报有选择性报价方案，供应商对每项产品仅接受一个价格，此报价为最终报价。该表中的报价应与投标函中的报价完全一致,否则为无效报价。</w:t>
      </w:r>
    </w:p>
    <w:p w14:paraId="566E3FA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3、单价和总价均应包括全部货物费、包装费、装卸费、运输等费用，以及已支付或将支付的营业税和其它税费。</w:t>
      </w:r>
    </w:p>
    <w:p w14:paraId="125AEEE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4、价格合计数与投标函总价数一致。</w:t>
      </w:r>
    </w:p>
    <w:p w14:paraId="0C547331">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bookmarkStart w:id="48" w:name="_Toc454178787"/>
      <w:bookmarkStart w:id="49" w:name="_Toc498612957"/>
      <w:bookmarkStart w:id="50" w:name="_Toc11035"/>
      <w:bookmarkStart w:id="51" w:name="_Toc259996721"/>
      <w:bookmarkStart w:id="52" w:name="_Toc16"/>
      <w:bookmarkStart w:id="53" w:name="_Toc454176467"/>
      <w:bookmarkStart w:id="54" w:name="_Toc30357"/>
      <w:bookmarkStart w:id="55" w:name="_Toc8958"/>
      <w:r>
        <w:rPr>
          <w:rFonts w:hint="eastAsia" w:asciiTheme="minorEastAsia" w:hAnsiTheme="minorEastAsia" w:eastAsiaTheme="minorEastAsia" w:cstheme="minorEastAsia"/>
          <w:kern w:val="0"/>
          <w:sz w:val="24"/>
          <w:szCs w:val="24"/>
          <w:lang w:bidi="ar"/>
        </w:rPr>
        <w:t>投标人：</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法定代表人或其授权委托人：</w:t>
      </w:r>
    </w:p>
    <w:p w14:paraId="771D9217">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（公章）</w:t>
      </w:r>
      <w:r>
        <w:rPr>
          <w:rFonts w:hint="eastAsia" w:asciiTheme="minorEastAsia" w:hAnsiTheme="minorEastAsia" w:eastAsiaTheme="minorEastAsia" w:cstheme="minorEastAsia"/>
          <w:kern w:val="0"/>
          <w:sz w:val="24"/>
          <w:szCs w:val="24"/>
          <w:lang w:val="en-US" w:eastAsia="zh-CN" w:bidi="ar"/>
        </w:rPr>
        <w:t xml:space="preserve">                             </w:t>
      </w:r>
      <w:r>
        <w:rPr>
          <w:rFonts w:hint="eastAsia" w:asciiTheme="minorEastAsia" w:hAnsiTheme="minorEastAsia" w:eastAsiaTheme="minorEastAsia" w:cstheme="minorEastAsia"/>
          <w:kern w:val="0"/>
          <w:sz w:val="24"/>
          <w:szCs w:val="24"/>
          <w:lang w:bidi="ar"/>
        </w:rPr>
        <w:t>（签字或盖章）</w:t>
      </w:r>
    </w:p>
    <w:p w14:paraId="0CDC36E4">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年月日</w:t>
      </w:r>
    </w:p>
    <w:p w14:paraId="0E3EFD63">
      <w:pP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br w:type="page"/>
      </w:r>
    </w:p>
    <w:p w14:paraId="2DE4322C">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服务要求响应及偏离表格式</w:t>
      </w:r>
      <w:bookmarkEnd w:id="48"/>
      <w:bookmarkEnd w:id="49"/>
      <w:bookmarkEnd w:id="50"/>
      <w:bookmarkEnd w:id="51"/>
      <w:bookmarkEnd w:id="52"/>
      <w:bookmarkEnd w:id="53"/>
      <w:bookmarkEnd w:id="54"/>
      <w:bookmarkEnd w:id="55"/>
    </w:p>
    <w:p w14:paraId="62B73E6F">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27EE9EF8">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服务要求响应及偏离表</w:t>
      </w:r>
    </w:p>
    <w:p w14:paraId="3E5A749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bl>
      <w:tblPr>
        <w:tblStyle w:val="15"/>
        <w:tblpPr w:leftFromText="180" w:rightFromText="180" w:vertAnchor="text" w:horzAnchor="margin" w:tblpXSpec="center" w:tblpY="6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033"/>
        <w:gridCol w:w="1580"/>
        <w:gridCol w:w="3390"/>
        <w:gridCol w:w="1129"/>
      </w:tblGrid>
      <w:tr w14:paraId="5B52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331FBB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序号</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17C9B20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招标服务要求</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6B50D3E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投标服务</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0E40925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符合/正偏离/负偏离</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145E9F9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备注</w:t>
            </w:r>
          </w:p>
        </w:tc>
      </w:tr>
      <w:tr w14:paraId="609A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DA9205">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1</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725F552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A5CBD9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431ACC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47FB2FD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7E14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A07474D">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2</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2CF8F7E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C9D88F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4B9C51D">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9D98DF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332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434A9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3</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419EE7D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D9748E8">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15EB6B4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4B7D5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1BDC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2C4BC40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p>
        </w:tc>
        <w:tc>
          <w:tcPr>
            <w:tcW w:w="1108" w:type="pct"/>
            <w:tcBorders>
              <w:top w:val="single" w:color="auto" w:sz="4" w:space="0"/>
              <w:left w:val="single" w:color="auto" w:sz="4" w:space="0"/>
              <w:bottom w:val="single" w:color="auto" w:sz="4" w:space="0"/>
              <w:right w:val="single" w:color="auto" w:sz="4" w:space="0"/>
            </w:tcBorders>
            <w:noWrap w:val="0"/>
            <w:vAlign w:val="top"/>
          </w:tcPr>
          <w:p w14:paraId="1ECE807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38B78E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71588B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DC92AE1">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0C6D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1C9908B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00F40BA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861" w:type="pct"/>
            <w:tcBorders>
              <w:top w:val="single" w:color="auto" w:sz="4" w:space="0"/>
              <w:left w:val="single" w:color="auto" w:sz="4" w:space="0"/>
              <w:bottom w:val="single" w:color="auto" w:sz="4" w:space="0"/>
              <w:right w:val="single" w:color="auto" w:sz="4" w:space="0"/>
            </w:tcBorders>
            <w:noWrap w:val="0"/>
            <w:vAlign w:val="top"/>
          </w:tcPr>
          <w:p w14:paraId="2086C546">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1847" w:type="pct"/>
            <w:tcBorders>
              <w:top w:val="single" w:color="auto" w:sz="4" w:space="0"/>
              <w:left w:val="single" w:color="auto" w:sz="4" w:space="0"/>
              <w:bottom w:val="single" w:color="auto" w:sz="4" w:space="0"/>
              <w:right w:val="single" w:color="auto" w:sz="4" w:space="0"/>
            </w:tcBorders>
            <w:noWrap w:val="0"/>
            <w:vAlign w:val="top"/>
          </w:tcPr>
          <w:p w14:paraId="7648A860">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543F9E2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r>
    </w:tbl>
    <w:p w14:paraId="339FF893">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（由投标人据实提交）</w:t>
      </w:r>
    </w:p>
    <w:p w14:paraId="45A45BFE">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p>
    <w:p w14:paraId="041914D8">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法定代表人或其授权委托人（</w:t>
      </w:r>
      <w:r>
        <w:rPr>
          <w:rFonts w:hint="eastAsia" w:asciiTheme="minorEastAsia" w:hAnsiTheme="minorEastAsia" w:eastAsiaTheme="minorEastAsia" w:cstheme="minorEastAsia"/>
          <w:kern w:val="0"/>
          <w:sz w:val="24"/>
          <w:szCs w:val="24"/>
          <w:lang w:bidi="ar"/>
        </w:rPr>
        <w:t>签字或盖章</w:t>
      </w:r>
      <w:r>
        <w:rPr>
          <w:rFonts w:hint="eastAsia" w:asciiTheme="minorEastAsia" w:hAnsiTheme="minorEastAsia" w:eastAsiaTheme="minorEastAsia" w:cstheme="minorEastAsia"/>
          <w:bCs/>
          <w:kern w:val="0"/>
          <w:sz w:val="24"/>
          <w:szCs w:val="24"/>
          <w:lang w:bidi="ar"/>
        </w:rPr>
        <w:t>）：</w:t>
      </w:r>
    </w:p>
    <w:p w14:paraId="18FD5637">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填写说明：</w:t>
      </w:r>
    </w:p>
    <w:p w14:paraId="629FBAB5">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1、投标人应当根据询比采购文件</w:t>
      </w:r>
      <w:r>
        <w:rPr>
          <w:rFonts w:hint="eastAsia" w:asciiTheme="minorEastAsia" w:hAnsiTheme="minorEastAsia" w:eastAsiaTheme="minorEastAsia" w:cstheme="minorEastAsia"/>
          <w:sz w:val="24"/>
          <w:szCs w:val="24"/>
          <w:lang w:bidi="ar"/>
        </w:rPr>
        <w:t>技术规格及要求</w:t>
      </w:r>
      <w:r>
        <w:rPr>
          <w:rFonts w:hint="eastAsia" w:asciiTheme="minorEastAsia" w:hAnsiTheme="minorEastAsia" w:eastAsiaTheme="minorEastAsia" w:cstheme="minorEastAsia"/>
          <w:bCs/>
          <w:kern w:val="0"/>
          <w:sz w:val="24"/>
          <w:szCs w:val="24"/>
          <w:lang w:bidi="ar"/>
        </w:rPr>
        <w:t>各项需求的内容填报技术参数响应及偏离表。</w:t>
      </w:r>
    </w:p>
    <w:p w14:paraId="7278307D">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2、投标人未提供该表或提供该表但注明技术参数响应有负偏离情况的，视为无效投标。</w:t>
      </w:r>
    </w:p>
    <w:p w14:paraId="5EF2F0DD">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asciiTheme="minorEastAsia" w:hAnsiTheme="minorEastAsia" w:eastAsiaTheme="minorEastAsia" w:cstheme="minorEastAsia"/>
          <w:color w:val="000000"/>
          <w:sz w:val="24"/>
          <w:szCs w:val="24"/>
        </w:rPr>
        <w:br w:type="page"/>
      </w:r>
      <w:bookmarkStart w:id="56" w:name="_Toc3499"/>
      <w:r>
        <w:rPr>
          <w:rFonts w:hint="eastAsia"/>
          <w:color w:val="000000"/>
          <w:sz w:val="24"/>
          <w:szCs w:val="24"/>
        </w:rPr>
        <w:t>供应商基本情况表格式</w:t>
      </w:r>
      <w:bookmarkEnd w:id="56"/>
    </w:p>
    <w:p w14:paraId="7EB0E655">
      <w:pPr>
        <w:pageBreakBefore w:val="0"/>
        <w:kinsoku/>
        <w:wordWrap/>
        <w:overflowPunct/>
        <w:topLinePunct w:val="0"/>
        <w:autoSpaceDE/>
        <w:autoSpaceDN/>
        <w:bidi w:val="0"/>
        <w:adjustRightInd/>
        <w:snapToGrid/>
        <w:spacing w:line="560" w:lineRule="exact"/>
        <w:ind w:firstLine="437"/>
        <w:textAlignment w:val="auto"/>
        <w:rPr>
          <w:rFonts w:hint="eastAsia"/>
          <w:color w:val="000000"/>
          <w:sz w:val="24"/>
          <w:szCs w:val="24"/>
        </w:rPr>
      </w:pPr>
    </w:p>
    <w:p w14:paraId="6C685C4F">
      <w:pPr>
        <w:pageBreakBefore w:val="0"/>
        <w:kinsoku/>
        <w:wordWrap/>
        <w:overflowPunct/>
        <w:topLinePunct w:val="0"/>
        <w:autoSpaceDE/>
        <w:autoSpaceDN/>
        <w:bidi w:val="0"/>
        <w:adjustRightInd/>
        <w:snapToGrid/>
        <w:spacing w:line="560" w:lineRule="exact"/>
        <w:ind w:firstLine="437"/>
        <w:jc w:val="center"/>
        <w:textAlignment w:val="auto"/>
        <w:rPr>
          <w:rFonts w:hint="eastAsia"/>
          <w:b/>
          <w:color w:val="000000"/>
          <w:sz w:val="24"/>
          <w:szCs w:val="24"/>
        </w:rPr>
      </w:pPr>
      <w:r>
        <w:rPr>
          <w:rFonts w:hint="eastAsia"/>
          <w:b/>
          <w:color w:val="000000"/>
          <w:sz w:val="24"/>
          <w:szCs w:val="24"/>
        </w:rPr>
        <w:t>供应商基本情况表</w:t>
      </w:r>
    </w:p>
    <w:p w14:paraId="6CDDDB66">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宋体" w:cs="宋体"/>
          <w:b/>
          <w:sz w:val="24"/>
          <w:szCs w:val="24"/>
        </w:rPr>
      </w:pPr>
      <w:r>
        <w:rPr>
          <w:rFonts w:hint="eastAsia" w:ascii="宋体" w:hAnsi="宋体" w:cs="宋体"/>
          <w:b/>
          <w:kern w:val="0"/>
          <w:sz w:val="24"/>
          <w:szCs w:val="24"/>
          <w:lang w:bidi="ar"/>
        </w:rPr>
        <w:t>一、名称和概况：</w:t>
      </w:r>
    </w:p>
    <w:p w14:paraId="1FB25E21">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1.投标人名称：</w:t>
      </w:r>
    </w:p>
    <w:p w14:paraId="69DF659D">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2.单位地址：</w:t>
      </w:r>
    </w:p>
    <w:p w14:paraId="0510E0A6">
      <w:pPr>
        <w:pageBreakBefore w:val="0"/>
        <w:widowControl/>
        <w:tabs>
          <w:tab w:val="left" w:pos="2282"/>
        </w:tabs>
        <w:kinsoku/>
        <w:wordWrap/>
        <w:overflowPunct/>
        <w:topLinePunct w:val="0"/>
        <w:autoSpaceDE/>
        <w:autoSpaceDN/>
        <w:bidi w:val="0"/>
        <w:adjustRightInd/>
        <w:snapToGrid/>
        <w:spacing w:line="560" w:lineRule="exact"/>
        <w:ind w:firstLine="720" w:firstLineChars="3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邮编：</w:t>
      </w:r>
    </w:p>
    <w:p w14:paraId="7A6A8377">
      <w:pPr>
        <w:pageBreakBefore w:val="0"/>
        <w:widowControl/>
        <w:tabs>
          <w:tab w:val="left" w:pos="2282"/>
        </w:tabs>
        <w:kinsoku/>
        <w:wordWrap/>
        <w:overflowPunct/>
        <w:topLinePunct w:val="0"/>
        <w:autoSpaceDE/>
        <w:autoSpaceDN/>
        <w:bidi w:val="0"/>
        <w:adjustRightInd/>
        <w:snapToGrid/>
        <w:spacing w:line="560" w:lineRule="exact"/>
        <w:ind w:firstLine="720" w:firstLineChars="3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传真/电话：</w:t>
      </w:r>
    </w:p>
    <w:p w14:paraId="4A24B524">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sz w:val="24"/>
          <w:szCs w:val="24"/>
          <w:u w:val="single"/>
          <w:lang w:eastAsia="zh-CN"/>
        </w:rPr>
      </w:pPr>
      <w:r>
        <w:rPr>
          <w:rFonts w:hint="eastAsia" w:ascii="宋体" w:hAnsi="宋体" w:cs="宋体"/>
          <w:bCs/>
          <w:kern w:val="0"/>
          <w:sz w:val="24"/>
          <w:szCs w:val="24"/>
          <w:lang w:bidi="ar"/>
        </w:rPr>
        <w:t>3.成立日期或注册日期：</w:t>
      </w:r>
    </w:p>
    <w:p w14:paraId="6CA20992">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4.投标人法定代表人名称：</w:t>
      </w:r>
    </w:p>
    <w:p w14:paraId="0583DC65">
      <w:pPr>
        <w:pageBreakBefore w:val="0"/>
        <w:widowControl/>
        <w:tabs>
          <w:tab w:val="left" w:pos="2282"/>
        </w:tabs>
        <w:kinsoku/>
        <w:wordWrap/>
        <w:overflowPunct/>
        <w:topLinePunct w:val="0"/>
        <w:autoSpaceDE/>
        <w:autoSpaceDN/>
        <w:bidi w:val="0"/>
        <w:adjustRightInd/>
        <w:snapToGrid/>
        <w:spacing w:line="560" w:lineRule="exact"/>
        <w:ind w:firstLine="480"/>
        <w:jc w:val="left"/>
        <w:textAlignment w:val="auto"/>
        <w:rPr>
          <w:rFonts w:hint="eastAsia" w:ascii="宋体" w:cs="宋体"/>
          <w:bCs/>
          <w:sz w:val="24"/>
          <w:szCs w:val="24"/>
        </w:rPr>
      </w:pPr>
      <w:r>
        <w:rPr>
          <w:rFonts w:hint="eastAsia" w:ascii="宋体" w:hAnsi="宋体" w:cs="宋体"/>
          <w:bCs/>
          <w:kern w:val="0"/>
          <w:sz w:val="24"/>
          <w:szCs w:val="24"/>
          <w:lang w:bidi="ar"/>
        </w:rPr>
        <w:t>就我方所知，兹证明上述声明是真实、正确的，并已提供了全部现有资料和数据，我方同意根据贵方要求出示文件予以证实。</w:t>
      </w:r>
    </w:p>
    <w:p w14:paraId="256DF88F">
      <w:pPr>
        <w:pageBreakBefore w:val="0"/>
        <w:widowControl/>
        <w:kinsoku/>
        <w:wordWrap/>
        <w:overflowPunct/>
        <w:topLinePunct w:val="0"/>
        <w:autoSpaceDE/>
        <w:autoSpaceDN/>
        <w:bidi w:val="0"/>
        <w:adjustRightInd/>
        <w:snapToGrid/>
        <w:spacing w:line="560" w:lineRule="exact"/>
        <w:jc w:val="left"/>
        <w:textAlignment w:val="auto"/>
        <w:rPr>
          <w:rFonts w:hint="eastAsia" w:ascii="宋体" w:cs="宋体"/>
          <w:sz w:val="24"/>
          <w:szCs w:val="24"/>
        </w:rPr>
      </w:pPr>
      <w:r>
        <w:rPr>
          <w:rFonts w:hint="eastAsia" w:ascii="宋体" w:hAnsi="宋体" w:cs="宋体"/>
          <w:kern w:val="0"/>
          <w:sz w:val="24"/>
          <w:szCs w:val="24"/>
          <w:lang w:bidi="ar"/>
        </w:rPr>
        <w:t>投标人名称：（加盖公章）</w:t>
      </w:r>
    </w:p>
    <w:p w14:paraId="11754CAD">
      <w:pPr>
        <w:pageBreakBefore w:val="0"/>
        <w:widowControl/>
        <w:kinsoku/>
        <w:wordWrap/>
        <w:overflowPunct/>
        <w:topLinePunct w:val="0"/>
        <w:autoSpaceDE/>
        <w:autoSpaceDN/>
        <w:bidi w:val="0"/>
        <w:adjustRightInd/>
        <w:snapToGrid/>
        <w:spacing w:line="560" w:lineRule="exact"/>
        <w:jc w:val="left"/>
        <w:textAlignment w:val="auto"/>
        <w:rPr>
          <w:rFonts w:hint="eastAsia" w:ascii="宋体" w:cs="宋体"/>
          <w:bCs/>
          <w:sz w:val="24"/>
          <w:szCs w:val="24"/>
        </w:rPr>
      </w:pPr>
      <w:r>
        <w:rPr>
          <w:rFonts w:hint="eastAsia" w:ascii="宋体" w:hAnsi="宋体" w:cs="宋体"/>
          <w:kern w:val="0"/>
          <w:sz w:val="24"/>
          <w:szCs w:val="24"/>
          <w:lang w:bidi="ar"/>
        </w:rPr>
        <w:t>法定代表人或授权代理人：（签字或盖章）</w:t>
      </w:r>
    </w:p>
    <w:p w14:paraId="4A07CF36">
      <w:pPr>
        <w:pageBreakBefore w:val="0"/>
        <w:tabs>
          <w:tab w:val="left" w:pos="2282"/>
        </w:tabs>
        <w:kinsoku/>
        <w:wordWrap/>
        <w:overflowPunct/>
        <w:topLinePunct w:val="0"/>
        <w:autoSpaceDE/>
        <w:autoSpaceDN/>
        <w:bidi w:val="0"/>
        <w:adjustRightInd/>
        <w:snapToGrid/>
        <w:spacing w:line="560" w:lineRule="exact"/>
        <w:ind w:firstLine="482" w:firstLineChars="200"/>
        <w:textAlignment w:val="auto"/>
        <w:rPr>
          <w:rFonts w:hint="eastAsia" w:ascii="宋体" w:hAnsi="宋体"/>
          <w:bCs/>
          <w:color w:val="000000"/>
          <w:sz w:val="24"/>
          <w:szCs w:val="24"/>
        </w:rPr>
      </w:pPr>
      <w:r>
        <w:rPr>
          <w:rFonts w:hint="eastAsia" w:ascii="宋体" w:hAnsi="宋体"/>
          <w:b/>
          <w:sz w:val="24"/>
          <w:szCs w:val="24"/>
          <w:lang w:bidi="ar"/>
        </w:rPr>
        <w:t>二、投标单位简要说明</w:t>
      </w:r>
    </w:p>
    <w:p w14:paraId="7DDBBBE7">
      <w:pPr>
        <w:pageBreakBefore w:val="0"/>
        <w:tabs>
          <w:tab w:val="left" w:pos="2282"/>
        </w:tabs>
        <w:kinsoku/>
        <w:wordWrap/>
        <w:overflowPunct/>
        <w:topLinePunct w:val="0"/>
        <w:autoSpaceDE/>
        <w:autoSpaceDN/>
        <w:bidi w:val="0"/>
        <w:adjustRightInd/>
        <w:snapToGrid/>
        <w:spacing w:line="560" w:lineRule="exact"/>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1.供应商基本情况。包括地理位置、营业面积、企业性质、组织结构等。</w:t>
      </w:r>
    </w:p>
    <w:p w14:paraId="629AEE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2.供应商经营情况。</w:t>
      </w:r>
    </w:p>
    <w:p w14:paraId="4888C2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3.供应商认为有必要说明的问题（如有时）。</w:t>
      </w:r>
    </w:p>
    <w:p w14:paraId="5058A2E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（由供应商按以上要求表述）</w:t>
      </w:r>
    </w:p>
    <w:p w14:paraId="5B38D1A6">
      <w:pPr>
        <w:pageBreakBefore w:val="0"/>
        <w:kinsoku/>
        <w:wordWrap/>
        <w:overflowPunct/>
        <w:topLinePunct w:val="0"/>
        <w:autoSpaceDE/>
        <w:autoSpaceDN/>
        <w:bidi w:val="0"/>
        <w:adjustRightInd/>
        <w:snapToGrid/>
        <w:spacing w:line="560" w:lineRule="exact"/>
        <w:jc w:val="left"/>
        <w:textAlignment w:val="auto"/>
        <w:outlineLvl w:val="9"/>
        <w:rPr>
          <w:rFonts w:hint="eastAsia" w:ascii="宋体" w:hAnsi="宋体"/>
          <w:color w:val="000000"/>
          <w:sz w:val="24"/>
          <w:szCs w:val="24"/>
        </w:rPr>
      </w:pPr>
    </w:p>
    <w:p w14:paraId="0DF2BA30">
      <w:pPr>
        <w:pageBreakBefore w:val="0"/>
        <w:kinsoku/>
        <w:wordWrap/>
        <w:overflowPunct/>
        <w:topLinePunct w:val="0"/>
        <w:autoSpaceDE/>
        <w:autoSpaceDN/>
        <w:bidi w:val="0"/>
        <w:adjustRightInd/>
        <w:snapToGrid/>
        <w:spacing w:line="560" w:lineRule="exact"/>
        <w:jc w:val="both"/>
        <w:textAlignment w:val="auto"/>
        <w:outlineLvl w:val="9"/>
        <w:rPr>
          <w:rFonts w:hint="eastAsia"/>
          <w:sz w:val="24"/>
          <w:szCs w:val="24"/>
        </w:rPr>
      </w:pPr>
    </w:p>
    <w:p w14:paraId="0C82F929">
      <w:pPr>
        <w:pageBreakBefore w:val="0"/>
        <w:kinsoku/>
        <w:wordWrap/>
        <w:overflowPunct/>
        <w:topLinePunct w:val="0"/>
        <w:autoSpaceDE/>
        <w:autoSpaceDN/>
        <w:bidi w:val="0"/>
        <w:adjustRightInd/>
        <w:snapToGrid/>
        <w:spacing w:line="560" w:lineRule="exact"/>
        <w:textAlignment w:val="auto"/>
        <w:rPr>
          <w:rFonts w:hint="eastAsia"/>
          <w:sz w:val="24"/>
          <w:szCs w:val="24"/>
        </w:rPr>
      </w:pPr>
    </w:p>
    <w:p w14:paraId="0CF11F26">
      <w:pPr>
        <w:pageBreakBefore w:val="0"/>
        <w:kinsoku/>
        <w:wordWrap/>
        <w:overflowPunct/>
        <w:topLinePunct w:val="0"/>
        <w:autoSpaceDE/>
        <w:autoSpaceDN/>
        <w:bidi w:val="0"/>
        <w:adjustRightInd/>
        <w:snapToGrid/>
        <w:spacing w:line="560" w:lineRule="exact"/>
        <w:textAlignment w:val="auto"/>
        <w:outlineLvl w:val="9"/>
        <w:rPr>
          <w:rFonts w:hint="eastAsia"/>
          <w:sz w:val="24"/>
          <w:szCs w:val="24"/>
        </w:rPr>
      </w:pPr>
    </w:p>
    <w:p w14:paraId="0905F496">
      <w:pPr>
        <w:pStyle w:val="13"/>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lang w:eastAsia="zh-CN"/>
        </w:rPr>
      </w:pPr>
    </w:p>
    <w:p w14:paraId="69FB293B">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7" w:name="_Toc21847"/>
      <w:r>
        <w:rPr>
          <w:rFonts w:hint="eastAsia"/>
          <w:color w:val="000000"/>
          <w:sz w:val="24"/>
          <w:szCs w:val="24"/>
        </w:rPr>
        <w:t>项目实施方案</w:t>
      </w:r>
      <w:bookmarkEnd w:id="57"/>
    </w:p>
    <w:p w14:paraId="78CCBF28">
      <w:pPr>
        <w:pageBreakBefore w:val="0"/>
        <w:kinsoku/>
        <w:wordWrap/>
        <w:overflowPunct/>
        <w:topLinePunct w:val="0"/>
        <w:autoSpaceDE/>
        <w:autoSpaceDN/>
        <w:bidi w:val="0"/>
        <w:adjustRightInd/>
        <w:snapToGrid/>
        <w:spacing w:line="560" w:lineRule="exact"/>
        <w:ind w:firstLine="480"/>
        <w:textAlignment w:val="auto"/>
        <w:rPr>
          <w:rFonts w:hint="eastAsia"/>
          <w:color w:val="000000"/>
          <w:sz w:val="24"/>
          <w:szCs w:val="24"/>
          <w:u w:val="single"/>
        </w:rPr>
      </w:pPr>
    </w:p>
    <w:p w14:paraId="678CF4BD">
      <w:pPr>
        <w:pageBreakBefore w:val="0"/>
        <w:kinsoku/>
        <w:wordWrap/>
        <w:overflowPunct/>
        <w:topLinePunct w:val="0"/>
        <w:autoSpaceDE/>
        <w:autoSpaceDN/>
        <w:bidi w:val="0"/>
        <w:adjustRightInd/>
        <w:snapToGrid/>
        <w:spacing w:line="560" w:lineRule="exact"/>
        <w:ind w:firstLine="437"/>
        <w:jc w:val="center"/>
        <w:textAlignment w:val="auto"/>
        <w:rPr>
          <w:rFonts w:hint="eastAsia"/>
          <w:b/>
          <w:color w:val="000000"/>
          <w:sz w:val="24"/>
          <w:szCs w:val="24"/>
        </w:rPr>
      </w:pPr>
      <w:r>
        <w:rPr>
          <w:rFonts w:hint="eastAsia"/>
          <w:b/>
          <w:color w:val="000000"/>
          <w:sz w:val="24"/>
          <w:szCs w:val="24"/>
        </w:rPr>
        <w:t>项目实施方案</w:t>
      </w:r>
    </w:p>
    <w:p w14:paraId="51E6B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ascii="Segoe UI Emoji" w:hAnsi="Segoe UI Emoji" w:eastAsia="Segoe UI Emoji" w:cs="Segoe UI Emoji"/>
          <w:i w:val="0"/>
          <w:iCs w:val="0"/>
          <w:caps w:val="0"/>
          <w:color w:val="000000"/>
          <w:spacing w:val="0"/>
          <w:sz w:val="24"/>
          <w:szCs w:val="24"/>
        </w:rPr>
      </w:pPr>
      <w:bookmarkStart w:id="58" w:name="_Toc26989"/>
      <w:r>
        <w:rPr>
          <w:rFonts w:ascii="Segoe UI Emoji" w:hAnsi="Segoe UI Emoji" w:eastAsia="Segoe UI Emoji" w:cs="Segoe UI Emoji"/>
          <w:i w:val="0"/>
          <w:iCs w:val="0"/>
          <w:caps w:val="0"/>
          <w:color w:val="000000"/>
          <w:spacing w:val="0"/>
          <w:sz w:val="24"/>
          <w:szCs w:val="24"/>
        </w:rPr>
        <w:t xml:space="preserve">供应商如果一旦中标，应按其在项目实施方案中的承诺安排各阶段工作的实施。包括但不限于： </w:t>
      </w:r>
    </w:p>
    <w:bookmarkEnd w:id="58"/>
    <w:p w14:paraId="30417B58">
      <w:pPr>
        <w:pageBreakBefore w:val="0"/>
        <w:kinsoku/>
        <w:wordWrap/>
        <w:overflowPunct/>
        <w:topLinePunct w:val="0"/>
        <w:bidi w:val="0"/>
        <w:spacing w:line="560" w:lineRule="exact"/>
        <w:ind w:firstLine="480" w:firstLineChars="200"/>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(1)</w:t>
      </w:r>
      <w:r>
        <w:rPr>
          <w:rFonts w:hint="eastAsia" w:asciiTheme="minorEastAsia" w:hAnsiTheme="minorEastAsia" w:eastAsiaTheme="minorEastAsia" w:cstheme="minorEastAsia"/>
          <w:color w:val="000000"/>
          <w:sz w:val="24"/>
          <w:szCs w:val="24"/>
          <w:highlight w:val="none"/>
        </w:rPr>
        <w:t xml:space="preserve">项目实施方案及措施：明确保洁服务范围、作业频次、人员/设备/耗材配置、作业流程及质量验收标准； </w:t>
      </w:r>
    </w:p>
    <w:p w14:paraId="27A1E631">
      <w:pPr>
        <w:pageBreakBefore w:val="0"/>
        <w:kinsoku/>
        <w:wordWrap/>
        <w:overflowPunct/>
        <w:topLinePunct w:val="0"/>
        <w:bidi w:val="0"/>
        <w:spacing w:line="560" w:lineRule="exact"/>
        <w:ind w:firstLine="480" w:firstLineChars="200"/>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保洁作业安全运行保障方案及措施：涵盖人员防护、设施保护、环保合规、应急处置及安全责任划分；</w:t>
      </w:r>
    </w:p>
    <w:p w14:paraId="5BE6416C">
      <w:pPr>
        <w:pageBreakBefore w:val="0"/>
        <w:kinsoku/>
        <w:wordWrap/>
        <w:overflowPunct/>
        <w:topLinePunct w:val="0"/>
        <w:bidi w:val="0"/>
        <w:spacing w:line="560" w:lineRule="exact"/>
        <w:ind w:firstLine="480" w:firstLineChars="200"/>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售后服务方案及措施：明确响应时限、投诉处理、质量监督、需求调整及沟通反馈机制；</w:t>
      </w:r>
    </w:p>
    <w:p w14:paraId="127F39AB">
      <w:pPr>
        <w:pageBreakBefore w:val="0"/>
        <w:kinsoku/>
        <w:wordWrap/>
        <w:overflowPunct/>
        <w:topLinePunct w:val="0"/>
        <w:bidi w:val="0"/>
        <w:spacing w:line="560" w:lineRule="exact"/>
        <w:ind w:firstLine="480" w:firstLineChars="200"/>
        <w:textAlignment w:val="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 驻场运维方案及措施：确定驻场人员配置、岗位职责、日常管理、设备维保及协调对接流程。</w:t>
      </w:r>
    </w:p>
    <w:p w14:paraId="766569A6">
      <w:pP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br w:type="page"/>
      </w:r>
    </w:p>
    <w:p w14:paraId="569C327C">
      <w:pPr>
        <w:rPr>
          <w:rFonts w:hint="eastAsia" w:ascii="宋体" w:hAnsi="宋体"/>
          <w:b/>
          <w:color w:val="000000"/>
          <w:sz w:val="24"/>
          <w:szCs w:val="24"/>
        </w:rPr>
      </w:pPr>
    </w:p>
    <w:p w14:paraId="6F2AAD64">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szCs w:val="24"/>
        </w:rPr>
      </w:pPr>
      <w:r>
        <w:rPr>
          <w:rFonts w:hint="eastAsia" w:ascii="宋体" w:hAnsi="宋体"/>
          <w:b/>
          <w:color w:val="000000"/>
          <w:sz w:val="24"/>
          <w:szCs w:val="24"/>
        </w:rPr>
        <w:t>其它（如有时）</w:t>
      </w:r>
    </w:p>
    <w:p w14:paraId="1341DBD9">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1E020E22">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2AA85403">
      <w:pPr>
        <w:pageBreakBefore w:val="0"/>
        <w:kinsoku/>
        <w:wordWrap/>
        <w:overflowPunct/>
        <w:topLinePunct w:val="0"/>
        <w:autoSpaceDE/>
        <w:autoSpaceDN/>
        <w:bidi w:val="0"/>
        <w:adjustRightInd/>
        <w:snapToGrid/>
        <w:spacing w:line="560" w:lineRule="exact"/>
        <w:ind w:firstLine="723" w:firstLineChars="300"/>
        <w:textAlignment w:val="auto"/>
        <w:rPr>
          <w:rFonts w:hint="eastAsia" w:ascii="宋体" w:hAnsi="宋体"/>
          <w:b/>
          <w:bCs/>
          <w:color w:val="000000"/>
          <w:sz w:val="24"/>
          <w:szCs w:val="24"/>
        </w:rPr>
      </w:pPr>
      <w:r>
        <w:rPr>
          <w:rFonts w:hint="eastAsia" w:ascii="宋体" w:hAnsi="宋体"/>
          <w:b/>
          <w:bCs/>
          <w:color w:val="000000"/>
          <w:sz w:val="24"/>
          <w:szCs w:val="24"/>
        </w:rPr>
        <w:t>注：此处请提供询比采购文件要求提供的或投标单位认为必须提供的相关证明材料（涉及加分的必须将原件带到开标现场，由评标委员会进行审查。）</w:t>
      </w:r>
    </w:p>
    <w:p w14:paraId="18D9C1AC">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0D72F18B">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1DEDB90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52A98C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5C0EF22F">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3ACD9C1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49ACCA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82BD30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71E8CD1">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50AA580">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0527C56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40863BC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6A8441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5DEAA94">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DEEAE58">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4EB686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50539CB4">
      <w:pPr>
        <w:rPr>
          <w:rFonts w:hint="eastAsia"/>
          <w:color w:val="000000"/>
          <w:sz w:val="24"/>
          <w:szCs w:val="24"/>
        </w:rPr>
      </w:pPr>
      <w:bookmarkStart w:id="59" w:name="_Toc74"/>
      <w:r>
        <w:rPr>
          <w:rFonts w:hint="eastAsia"/>
          <w:color w:val="000000"/>
          <w:sz w:val="24"/>
          <w:szCs w:val="24"/>
        </w:rPr>
        <w:br w:type="page"/>
      </w:r>
    </w:p>
    <w:p w14:paraId="289D216D">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color w:val="000000"/>
          <w:sz w:val="24"/>
          <w:szCs w:val="24"/>
        </w:rPr>
        <w:t>供应商资格证明文件</w:t>
      </w:r>
      <w:bookmarkEnd w:id="59"/>
    </w:p>
    <w:p w14:paraId="489DF99C">
      <w:pPr>
        <w:pageBreakBefore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5038065B">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供应商资格证明文件</w:t>
      </w:r>
    </w:p>
    <w:p w14:paraId="03001D8D">
      <w:pPr>
        <w:pageBreakBefore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602A3BBC">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color w:val="000000"/>
          <w:sz w:val="24"/>
          <w:szCs w:val="24"/>
        </w:rPr>
      </w:pPr>
      <w:r>
        <w:rPr>
          <w:rFonts w:hint="eastAsia" w:ascii="宋体" w:hAnsi="宋体"/>
          <w:color w:val="000000"/>
          <w:sz w:val="24"/>
          <w:szCs w:val="24"/>
        </w:rPr>
        <w:t>A．</w:t>
      </w:r>
      <w:r>
        <w:rPr>
          <w:rFonts w:hint="eastAsia" w:ascii="宋体" w:hAnsi="宋体"/>
          <w:sz w:val="24"/>
          <w:szCs w:val="24"/>
        </w:rPr>
        <w:t>有效的企业营业执照副本、税务登记证副本、组织机构代码证副本（三证合一或五证合一的企业只需提供具有统一社会信用代码独立法人的营业执照副本）</w:t>
      </w:r>
      <w:r>
        <w:rPr>
          <w:rFonts w:hint="eastAsia" w:ascii="宋体"/>
          <w:color w:val="000000"/>
          <w:sz w:val="24"/>
          <w:szCs w:val="24"/>
        </w:rPr>
        <w:t>；</w:t>
      </w:r>
    </w:p>
    <w:p w14:paraId="14865F4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B．</w:t>
      </w:r>
      <w:r>
        <w:rPr>
          <w:rFonts w:hint="eastAsia" w:ascii="宋体" w:hAnsi="宋体"/>
          <w:sz w:val="24"/>
          <w:szCs w:val="24"/>
        </w:rPr>
        <w:t>银行开户许可证（或取消开户许可证的须提供基本存款账户银行备案资料）</w:t>
      </w:r>
      <w:r>
        <w:rPr>
          <w:rFonts w:hint="eastAsia" w:ascii="宋体" w:hAnsi="宋体"/>
          <w:color w:val="000000"/>
          <w:sz w:val="24"/>
          <w:szCs w:val="24"/>
        </w:rPr>
        <w:t>；</w:t>
      </w:r>
    </w:p>
    <w:p w14:paraId="355246B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C．</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w:t>
      </w:r>
      <w:r>
        <w:rPr>
          <w:rFonts w:hint="eastAsia" w:ascii="宋体"/>
          <w:sz w:val="24"/>
          <w:szCs w:val="24"/>
        </w:rPr>
        <w:t>的依法缴纳税收的证明材料复印件（至少包括增值税和企业所得税，如依法免税的提供相应证明文件复印件、如零缴纳的提供税务部门证明材料复印件）</w:t>
      </w:r>
      <w:r>
        <w:rPr>
          <w:rFonts w:hint="eastAsia" w:ascii="宋体" w:hAnsi="宋体"/>
          <w:color w:val="000000"/>
          <w:sz w:val="24"/>
          <w:szCs w:val="24"/>
        </w:rPr>
        <w:t>；</w:t>
      </w:r>
    </w:p>
    <w:p w14:paraId="3EDF414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D.</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年1月1日至今任意月的依法缴纳社会保障资金的缴纳凭证或证明材料复印件（如依法不需要缴纳社保的，提供相应证明文件复印件）；</w:t>
      </w:r>
    </w:p>
    <w:p w14:paraId="68D723B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E．法定代表人身份证明书</w:t>
      </w:r>
      <w:r>
        <w:rPr>
          <w:rFonts w:hint="eastAsia" w:ascii="宋体" w:hAnsi="宋体"/>
          <w:sz w:val="24"/>
          <w:szCs w:val="24"/>
          <w:lang w:bidi="ar"/>
        </w:rPr>
        <w:t>原件</w:t>
      </w:r>
      <w:r>
        <w:rPr>
          <w:rFonts w:hint="eastAsia" w:ascii="宋体" w:hAnsi="宋体"/>
          <w:color w:val="000000"/>
          <w:sz w:val="24"/>
          <w:szCs w:val="24"/>
        </w:rPr>
        <w:t>和</w:t>
      </w:r>
      <w:r>
        <w:rPr>
          <w:rFonts w:hint="eastAsia" w:ascii="宋体" w:hAnsi="宋体"/>
          <w:sz w:val="24"/>
          <w:szCs w:val="24"/>
          <w:lang w:bidi="ar"/>
        </w:rPr>
        <w:t>授权委托书原件（法定代表人参加投标的，不需要提供授权委托书原件）</w:t>
      </w:r>
      <w:r>
        <w:rPr>
          <w:rFonts w:hint="eastAsia" w:ascii="宋体" w:hAnsi="宋体"/>
          <w:color w:val="000000"/>
          <w:kern w:val="18"/>
          <w:sz w:val="24"/>
          <w:szCs w:val="24"/>
        </w:rPr>
        <w:t>；</w:t>
      </w:r>
    </w:p>
    <w:p w14:paraId="42C5F00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F．</w:t>
      </w:r>
      <w:r>
        <w:rPr>
          <w:rFonts w:hint="eastAsia" w:ascii="宋体"/>
          <w:sz w:val="24"/>
          <w:szCs w:val="24"/>
        </w:rPr>
        <w:t>供应商参加本次政府采购活动前3年内无重大违法记录和政府采购严重违法失信行为的书面声明</w:t>
      </w:r>
      <w:r>
        <w:rPr>
          <w:rFonts w:hint="eastAsia" w:ascii="宋体" w:hAnsi="宋体" w:cs="宋体"/>
          <w:color w:val="000000"/>
          <w:sz w:val="24"/>
          <w:szCs w:val="24"/>
          <w:lang w:bidi="ar"/>
        </w:rPr>
        <w:t>；</w:t>
      </w:r>
    </w:p>
    <w:p w14:paraId="1F814D8D">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s="宋体"/>
          <w:color w:val="000000"/>
          <w:sz w:val="24"/>
          <w:szCs w:val="24"/>
          <w:lang w:bidi="ar"/>
        </w:rPr>
        <w:t>G．</w:t>
      </w:r>
      <w:r>
        <w:rPr>
          <w:rFonts w:hint="eastAsia" w:ascii="宋体"/>
          <w:sz w:val="24"/>
          <w:szCs w:val="24"/>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r>
        <w:rPr>
          <w:rFonts w:hint="eastAsia" w:ascii="宋体" w:hAnsi="宋体" w:cs="宋体"/>
          <w:color w:val="000000"/>
          <w:sz w:val="24"/>
          <w:szCs w:val="24"/>
          <w:lang w:bidi="ar"/>
        </w:rPr>
        <w:t>）。</w:t>
      </w:r>
    </w:p>
    <w:p w14:paraId="287A74DD">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p>
    <w:p w14:paraId="5C5D8229">
      <w:pPr>
        <w:pageBreakBefore w:val="0"/>
        <w:kinsoku/>
        <w:wordWrap/>
        <w:overflowPunct/>
        <w:topLinePunct w:val="0"/>
        <w:autoSpaceDE/>
        <w:autoSpaceDN/>
        <w:bidi w:val="0"/>
        <w:adjustRightInd/>
        <w:snapToGrid/>
        <w:spacing w:line="560" w:lineRule="exact"/>
        <w:jc w:val="both"/>
        <w:textAlignment w:val="auto"/>
        <w:outlineLvl w:val="9"/>
        <w:rPr>
          <w:rFonts w:hint="eastAsia"/>
        </w:rPr>
      </w:pPr>
    </w:p>
    <w:p w14:paraId="0B5B1931">
      <w:pPr>
        <w:pageBreakBefore w:val="0"/>
        <w:kinsoku/>
        <w:wordWrap/>
        <w:overflowPunct/>
        <w:topLinePunct w:val="0"/>
        <w:autoSpaceDE/>
        <w:autoSpaceDN/>
        <w:bidi w:val="0"/>
        <w:adjustRightInd/>
        <w:snapToGrid/>
        <w:spacing w:line="560" w:lineRule="exact"/>
        <w:textAlignment w:val="auto"/>
        <w:rPr>
          <w:rFonts w:hint="eastAsia"/>
        </w:rPr>
      </w:pPr>
    </w:p>
    <w:p w14:paraId="68A78B60">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60" w:name="_Toc321044655"/>
      <w:bookmarkStart w:id="61" w:name="_Toc4839"/>
      <w:r>
        <w:rPr>
          <w:rFonts w:hint="eastAsia"/>
          <w:color w:val="000000"/>
          <w:sz w:val="24"/>
          <w:szCs w:val="24"/>
        </w:rPr>
        <w:t>法定代表人身份证明书格式</w:t>
      </w:r>
      <w:bookmarkEnd w:id="60"/>
      <w:bookmarkEnd w:id="61"/>
    </w:p>
    <w:p w14:paraId="2D27E9C6">
      <w:pPr>
        <w:pageBreakBefore w:val="0"/>
        <w:kinsoku/>
        <w:wordWrap/>
        <w:overflowPunct/>
        <w:topLinePunct w:val="0"/>
        <w:autoSpaceDE/>
        <w:autoSpaceDN/>
        <w:bidi w:val="0"/>
        <w:adjustRightInd/>
        <w:snapToGrid/>
        <w:spacing w:line="560" w:lineRule="exact"/>
        <w:ind w:firstLine="437"/>
        <w:textAlignment w:val="auto"/>
        <w:rPr>
          <w:rFonts w:hint="eastAsia" w:ascii="宋体" w:hAnsi="宋体"/>
          <w:color w:val="000000"/>
          <w:sz w:val="24"/>
          <w:szCs w:val="24"/>
        </w:rPr>
      </w:pPr>
    </w:p>
    <w:p w14:paraId="58DE5F46">
      <w:pPr>
        <w:pageBreakBefore w:val="0"/>
        <w:kinsoku/>
        <w:wordWrap/>
        <w:overflowPunct/>
        <w:topLinePunct w:val="0"/>
        <w:autoSpaceDE/>
        <w:autoSpaceDN/>
        <w:bidi w:val="0"/>
        <w:adjustRightInd/>
        <w:snapToGrid/>
        <w:spacing w:line="560" w:lineRule="exact"/>
        <w:ind w:firstLine="437"/>
        <w:jc w:val="center"/>
        <w:textAlignment w:val="auto"/>
        <w:rPr>
          <w:rFonts w:hint="eastAsia" w:ascii="宋体" w:hAnsi="宋体"/>
          <w:b/>
          <w:color w:val="000000"/>
          <w:sz w:val="24"/>
          <w:szCs w:val="24"/>
        </w:rPr>
      </w:pPr>
      <w:r>
        <w:rPr>
          <w:rFonts w:hint="eastAsia" w:ascii="宋体" w:hAnsi="宋体"/>
          <w:b/>
          <w:color w:val="000000"/>
          <w:sz w:val="24"/>
          <w:szCs w:val="24"/>
        </w:rPr>
        <w:t>法定代表人身份证明书</w:t>
      </w:r>
    </w:p>
    <w:p w14:paraId="2A00DBBC">
      <w:pPr>
        <w:pageBreakBefore w:val="0"/>
        <w:kinsoku/>
        <w:wordWrap/>
        <w:overflowPunct/>
        <w:topLinePunct w:val="0"/>
        <w:autoSpaceDE/>
        <w:autoSpaceDN/>
        <w:bidi w:val="0"/>
        <w:adjustRightInd/>
        <w:snapToGrid/>
        <w:spacing w:line="560" w:lineRule="exact"/>
        <w:ind w:firstLine="437"/>
        <w:jc w:val="center"/>
        <w:textAlignment w:val="auto"/>
        <w:rPr>
          <w:rFonts w:hint="eastAsia" w:ascii="宋体" w:hAnsi="宋体"/>
          <w:b/>
          <w:color w:val="000000"/>
          <w:sz w:val="24"/>
          <w:szCs w:val="24"/>
        </w:rPr>
      </w:pPr>
    </w:p>
    <w:p w14:paraId="5E0C521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lang w:val="en-US" w:eastAsia="zh-CN"/>
        </w:rPr>
        <w:t>张家口霖辉物业管理集团有限公司</w:t>
      </w:r>
      <w:r>
        <w:rPr>
          <w:rFonts w:hint="eastAsia" w:ascii="宋体" w:hAnsi="宋体"/>
          <w:color w:val="000000"/>
          <w:sz w:val="24"/>
          <w:szCs w:val="24"/>
        </w:rPr>
        <w:t>：</w:t>
      </w:r>
    </w:p>
    <w:p w14:paraId="3F5EF693">
      <w:pPr>
        <w:pageBreakBefore w:val="0"/>
        <w:kinsoku/>
        <w:wordWrap/>
        <w:overflowPunct/>
        <w:topLinePunct w:val="0"/>
        <w:autoSpaceDE/>
        <w:autoSpaceDN/>
        <w:bidi w:val="0"/>
        <w:adjustRightInd/>
        <w:snapToGrid/>
        <w:spacing w:line="560" w:lineRule="exact"/>
        <w:ind w:firstLine="437"/>
        <w:textAlignment w:val="auto"/>
        <w:rPr>
          <w:rFonts w:hint="eastAsia" w:ascii="宋体" w:hAnsi="宋体"/>
          <w:color w:val="000000"/>
          <w:sz w:val="24"/>
          <w:szCs w:val="24"/>
        </w:rPr>
      </w:pP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先</w:t>
      </w:r>
      <w:r>
        <w:rPr>
          <w:rFonts w:hint="eastAsia" w:asciiTheme="minorEastAsia" w:hAnsiTheme="minorEastAsia" w:eastAsiaTheme="minorEastAsia" w:cstheme="minorEastAsia"/>
          <w:color w:val="000000"/>
          <w:sz w:val="24"/>
          <w:szCs w:val="24"/>
        </w:rPr>
        <w:t>生（女士）</w:t>
      </w:r>
      <w:r>
        <w:rPr>
          <w:rFonts w:hint="eastAsia" w:ascii="宋体" w:hAnsi="宋体"/>
          <w:color w:val="000000"/>
          <w:sz w:val="24"/>
          <w:szCs w:val="24"/>
        </w:rPr>
        <w:t>，在我单位任职务，是我单位的法定代表人。</w:t>
      </w:r>
    </w:p>
    <w:p w14:paraId="4C232AFA">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特此证明</w:t>
      </w:r>
    </w:p>
    <w:p w14:paraId="49D8C010">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37327F4E">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身份证号码：</w:t>
      </w:r>
    </w:p>
    <w:p w14:paraId="2B6A3D14">
      <w:pPr>
        <w:pageBreakBefore w:val="0"/>
        <w:kinsoku/>
        <w:wordWrap/>
        <w:overflowPunct/>
        <w:topLinePunct w:val="0"/>
        <w:autoSpaceDE/>
        <w:autoSpaceDN/>
        <w:bidi w:val="0"/>
        <w:adjustRightInd/>
        <w:snapToGrid/>
        <w:spacing w:line="560" w:lineRule="exact"/>
        <w:textAlignment w:val="auto"/>
        <w:outlineLvl w:val="9"/>
        <w:rPr>
          <w:rFonts w:hint="eastAsia"/>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3"/>
      </w:tblGrid>
      <w:tr w14:paraId="7ACF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7043" w:type="dxa"/>
            <w:tcBorders>
              <w:top w:val="single" w:color="auto" w:sz="4" w:space="0"/>
              <w:left w:val="single" w:color="auto" w:sz="4" w:space="0"/>
              <w:bottom w:val="single" w:color="auto" w:sz="4" w:space="0"/>
              <w:right w:val="single" w:color="auto" w:sz="4" w:space="0"/>
            </w:tcBorders>
            <w:noWrap w:val="0"/>
            <w:vAlign w:val="top"/>
          </w:tcPr>
          <w:p w14:paraId="69B6B171">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043BEBD5">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p>
          <w:p w14:paraId="082E91DD">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p>
          <w:p w14:paraId="0188CAD9">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5F9F4B1E">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r>
              <w:rPr>
                <w:rFonts w:hint="eastAsia" w:ascii="宋体" w:hAnsi="宋体" w:eastAsia="宋体" w:cs="宋体"/>
                <w:bCs/>
                <w:kern w:val="0"/>
                <w:sz w:val="24"/>
                <w:szCs w:val="24"/>
                <w:lang w:bidi="ar"/>
              </w:rPr>
              <w:t>二代身份证，须同时提供正、反两面复印件</w:t>
            </w:r>
          </w:p>
          <w:p w14:paraId="1D8238F5">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757E1DBF">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p w14:paraId="45E2D693">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sz w:val="24"/>
                <w:szCs w:val="24"/>
              </w:rPr>
            </w:pPr>
          </w:p>
        </w:tc>
      </w:tr>
    </w:tbl>
    <w:p w14:paraId="1743B62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08333B32">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r>
        <w:rPr>
          <w:rFonts w:hint="eastAsia" w:ascii="宋体" w:hAnsi="宋体"/>
          <w:color w:val="000000"/>
          <w:sz w:val="24"/>
          <w:szCs w:val="24"/>
        </w:rPr>
        <w:t>供应商全称（公章）：</w:t>
      </w:r>
    </w:p>
    <w:p w14:paraId="34BA4465">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p>
    <w:p w14:paraId="04C33961">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r>
        <w:rPr>
          <w:rFonts w:hint="eastAsia" w:ascii="宋体" w:hAnsi="宋体"/>
          <w:color w:val="000000"/>
          <w:sz w:val="24"/>
          <w:szCs w:val="24"/>
        </w:rPr>
        <w:t>法定代表人（签字）：</w:t>
      </w:r>
    </w:p>
    <w:p w14:paraId="7F797E5B">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szCs w:val="24"/>
        </w:rPr>
      </w:pPr>
    </w:p>
    <w:p w14:paraId="2EBFCEE1">
      <w:pPr>
        <w:pageBreakBefore w:val="0"/>
        <w:tabs>
          <w:tab w:val="left" w:pos="5760"/>
        </w:tabs>
        <w:kinsoku/>
        <w:wordWrap/>
        <w:overflowPunct/>
        <w:topLinePunct w:val="0"/>
        <w:autoSpaceDE/>
        <w:autoSpaceDN/>
        <w:bidi w:val="0"/>
        <w:adjustRightInd/>
        <w:snapToGrid/>
        <w:spacing w:line="560" w:lineRule="exact"/>
        <w:ind w:firstLine="240" w:firstLineChars="100"/>
        <w:jc w:val="left"/>
        <w:textAlignment w:val="auto"/>
        <w:rPr>
          <w:rFonts w:hint="eastAsia" w:ascii="宋体" w:hAnsi="宋体"/>
          <w:color w:val="000000"/>
          <w:sz w:val="24"/>
          <w:szCs w:val="24"/>
        </w:rPr>
      </w:pPr>
      <w:r>
        <w:rPr>
          <w:rFonts w:hint="eastAsia" w:ascii="宋体" w:hAnsi="宋体"/>
          <w:color w:val="000000"/>
          <w:sz w:val="24"/>
          <w:szCs w:val="24"/>
        </w:rPr>
        <w:t>年月日</w:t>
      </w:r>
    </w:p>
    <w:p w14:paraId="7721ED73">
      <w:pPr>
        <w:pageBreakBefore w:val="0"/>
        <w:kinsoku/>
        <w:wordWrap/>
        <w:overflowPunct/>
        <w:topLinePunct w:val="0"/>
        <w:autoSpaceDE/>
        <w:autoSpaceDN/>
        <w:bidi w:val="0"/>
        <w:adjustRightInd/>
        <w:snapToGrid/>
        <w:spacing w:line="560" w:lineRule="exact"/>
        <w:textAlignment w:val="auto"/>
        <w:rPr>
          <w:rFonts w:hint="eastAsia"/>
          <w:color w:val="000000"/>
        </w:rPr>
      </w:pPr>
      <w:bookmarkStart w:id="62" w:name="_Toc321044656"/>
      <w:bookmarkStart w:id="63" w:name="_Toc27978"/>
    </w:p>
    <w:p w14:paraId="108DB3B0">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color w:val="000000"/>
          <w:sz w:val="24"/>
          <w:szCs w:val="24"/>
        </w:rPr>
        <w:t>法定代表人授权委托书格式</w:t>
      </w:r>
      <w:bookmarkEnd w:id="62"/>
      <w:bookmarkEnd w:id="63"/>
    </w:p>
    <w:p w14:paraId="68FF1C43">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p>
    <w:p w14:paraId="613A6795">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法定代表人授权委托书</w:t>
      </w:r>
    </w:p>
    <w:p w14:paraId="070B9FE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4F11C3F6">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兹委托</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(姓名)</w:t>
      </w:r>
      <w:r>
        <w:rPr>
          <w:rFonts w:hint="eastAsia" w:asciiTheme="minorEastAsia" w:hAnsiTheme="minorEastAsia" w:eastAsiaTheme="minorEastAsia" w:cstheme="minorEastAsia"/>
          <w:color w:val="000000"/>
          <w:sz w:val="24"/>
          <w:szCs w:val="24"/>
        </w:rPr>
        <w:t>先生（女士）为我单位参加</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r>
        <w:rPr>
          <w:rFonts w:hint="eastAsia" w:asciiTheme="minorEastAsia" w:hAnsiTheme="minorEastAsia" w:eastAsiaTheme="minorEastAsia" w:cstheme="minorEastAsia"/>
          <w:color w:val="000000"/>
          <w:sz w:val="24"/>
          <w:szCs w:val="24"/>
        </w:rPr>
        <w:t>组织的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lang w:val="en-US" w:eastAsia="zh-CN"/>
        </w:rPr>
        <w:t>项目</w:t>
      </w:r>
      <w:r>
        <w:rPr>
          <w:rFonts w:hint="eastAsia" w:asciiTheme="minorEastAsia" w:hAnsiTheme="minorEastAsia" w:eastAsiaTheme="minorEastAsia" w:cstheme="minorEastAsia"/>
          <w:color w:val="000000"/>
          <w:sz w:val="24"/>
          <w:szCs w:val="24"/>
        </w:rPr>
        <w:t>询比采购文件（</w:t>
      </w:r>
      <w:r>
        <w:rPr>
          <w:rFonts w:hint="eastAsia" w:asciiTheme="minorEastAsia" w:hAnsiTheme="minorEastAsia" w:eastAsiaTheme="minorEastAsia" w:cstheme="minorEastAsia"/>
          <w:color w:val="000000"/>
          <w:sz w:val="24"/>
          <w:szCs w:val="24"/>
          <w:u w:val="single"/>
        </w:rPr>
        <w:t>项目编号：</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）的投标代理人,其代理权限为：封标、投标、澄清、答疑、开标、交纳保证金、签署合同、结算、售后服务。</w:t>
      </w:r>
    </w:p>
    <w:p w14:paraId="1716E079">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代理期限从年月日至年月日止</w:t>
      </w:r>
    </w:p>
    <w:p w14:paraId="454C252A">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附投标代理人情况：</w:t>
      </w:r>
    </w:p>
    <w:p w14:paraId="20FCB8E8">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姓名：性别年龄：职务：</w:t>
      </w:r>
    </w:p>
    <w:p w14:paraId="4B5BE555">
      <w:pPr>
        <w:pageBreakBefore w:val="0"/>
        <w:kinsoku/>
        <w:wordWrap/>
        <w:overflowPunct/>
        <w:topLinePunct w:val="0"/>
        <w:autoSpaceDE/>
        <w:autoSpaceDN/>
        <w:bidi w:val="0"/>
        <w:adjustRightInd/>
        <w:snapToGrid/>
        <w:spacing w:line="560" w:lineRule="exact"/>
        <w:ind w:firstLine="120" w:firstLineChars="50"/>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详细通讯址：</w:t>
      </w:r>
    </w:p>
    <w:p w14:paraId="134C7C91">
      <w:pPr>
        <w:pageBreakBefore w:val="0"/>
        <w:kinsoku/>
        <w:wordWrap/>
        <w:overflowPunct/>
        <w:topLinePunct w:val="0"/>
        <w:autoSpaceDE/>
        <w:autoSpaceDN/>
        <w:bidi w:val="0"/>
        <w:adjustRightInd/>
        <w:snapToGrid/>
        <w:spacing w:line="560" w:lineRule="exact"/>
        <w:ind w:firstLine="120" w:firstLineChars="50"/>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电话：传真：</w:t>
      </w:r>
    </w:p>
    <w:p w14:paraId="483A2623">
      <w:pPr>
        <w:pageBreakBefore w:val="0"/>
        <w:kinsoku/>
        <w:wordWrap/>
        <w:overflowPunct/>
        <w:topLinePunct w:val="0"/>
        <w:autoSpaceDE/>
        <w:autoSpaceDN/>
        <w:bidi w:val="0"/>
        <w:adjustRightInd/>
        <w:snapToGrid/>
        <w:spacing w:line="560" w:lineRule="exact"/>
        <w:ind w:firstLine="120" w:firstLineChars="50"/>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邮政编码：</w:t>
      </w:r>
    </w:p>
    <w:p w14:paraId="60315600">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身份证号码：</w:t>
      </w:r>
    </w:p>
    <w:p w14:paraId="7EE0BDEF">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u w:val="singl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0"/>
      </w:tblGrid>
      <w:tr w14:paraId="04FC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7800" w:type="dxa"/>
            <w:tcBorders>
              <w:top w:val="single" w:color="auto" w:sz="4" w:space="0"/>
              <w:left w:val="single" w:color="auto" w:sz="4" w:space="0"/>
              <w:bottom w:val="single" w:color="auto" w:sz="4" w:space="0"/>
              <w:right w:val="single" w:color="auto" w:sz="4" w:space="0"/>
            </w:tcBorders>
            <w:noWrap w:val="0"/>
            <w:vAlign w:val="center"/>
          </w:tcPr>
          <w:p w14:paraId="3885E2DB">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二代身份证，须同时提供正、反两面复印件</w:t>
            </w:r>
          </w:p>
          <w:p w14:paraId="5819231D">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sz w:val="24"/>
                <w:szCs w:val="24"/>
              </w:rPr>
            </w:pPr>
          </w:p>
        </w:tc>
      </w:tr>
    </w:tbl>
    <w:p w14:paraId="50B6243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供应商全称（公章）：</w:t>
      </w:r>
    </w:p>
    <w:p w14:paraId="55AA4052">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4B5CC08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法定代表人（签字）：</w:t>
      </w:r>
    </w:p>
    <w:p w14:paraId="2748BFD5">
      <w:pPr>
        <w:pageBreakBefore w:val="0"/>
        <w:tabs>
          <w:tab w:val="left" w:pos="5760"/>
        </w:tabs>
        <w:kinsoku/>
        <w:wordWrap/>
        <w:overflowPunct/>
        <w:topLinePunct w:val="0"/>
        <w:autoSpaceDE/>
        <w:autoSpaceDN/>
        <w:bidi w:val="0"/>
        <w:adjustRightInd/>
        <w:snapToGrid/>
        <w:spacing w:line="560" w:lineRule="exact"/>
        <w:ind w:firstLine="6360" w:firstLineChars="2650"/>
        <w:jc w:val="left"/>
        <w:textAlignment w:val="auto"/>
        <w:rPr>
          <w:rFonts w:hint="eastAsia" w:ascii="宋体" w:hAnsi="宋体"/>
          <w:color w:val="000000"/>
          <w:sz w:val="24"/>
          <w:szCs w:val="24"/>
        </w:rPr>
      </w:pPr>
      <w:r>
        <w:rPr>
          <w:rFonts w:hint="eastAsia" w:ascii="宋体" w:hAnsi="宋体"/>
          <w:color w:val="000000"/>
          <w:sz w:val="24"/>
          <w:szCs w:val="24"/>
        </w:rPr>
        <w:t>年月日</w:t>
      </w:r>
    </w:p>
    <w:p w14:paraId="63E6EDAA">
      <w:pPr>
        <w:pageBreakBefore w:val="0"/>
        <w:kinsoku/>
        <w:wordWrap/>
        <w:overflowPunct/>
        <w:topLinePunct w:val="0"/>
        <w:autoSpaceDE/>
        <w:autoSpaceDN/>
        <w:bidi w:val="0"/>
        <w:adjustRightInd/>
        <w:snapToGrid/>
        <w:spacing w:line="560" w:lineRule="exact"/>
        <w:textAlignment w:val="auto"/>
        <w:rPr>
          <w:color w:val="000000"/>
          <w:sz w:val="24"/>
          <w:szCs w:val="24"/>
        </w:rPr>
      </w:pPr>
      <w:bookmarkStart w:id="64" w:name="_Toc428538928"/>
      <w:bookmarkStart w:id="65" w:name="_Toc2378"/>
    </w:p>
    <w:p w14:paraId="5D4A0CB9">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参加政府采购前3年内无重大违法记录书面声明格式</w:t>
      </w:r>
      <w:bookmarkEnd w:id="64"/>
      <w:bookmarkEnd w:id="65"/>
    </w:p>
    <w:p w14:paraId="7ADBC100">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29D19C16">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6B7D9EDC">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书面声明</w:t>
      </w:r>
    </w:p>
    <w:p w14:paraId="60268E25">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p>
    <w:p w14:paraId="5CF5973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所称重大违法记录，是指供应商因违法经营受到刑事处罚或者责令停产停业、吊销许可证或者执照、较大数额罚款等行政处罚和政府采购严重违法失信行为的书面声明。</w:t>
      </w:r>
    </w:p>
    <w:p w14:paraId="28A4E4F8">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格式自拟。</w:t>
      </w:r>
    </w:p>
    <w:p w14:paraId="67A7F9A2">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590011F3">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7FADAE59">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31DF0DB3">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6235CF3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76A396DF">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5A4FF136">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4F4A8193">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2F107BFE">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2EE7ED5D">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0F8327E4">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供应商全称（公章）：</w:t>
      </w:r>
    </w:p>
    <w:p w14:paraId="2D57BD2B">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3F4F8B79">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法定代表人或其授权委托人（签字）：</w:t>
      </w:r>
    </w:p>
    <w:p w14:paraId="58855E0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Theme="minorEastAsia" w:hAnsiTheme="minorEastAsia" w:eastAsiaTheme="minorEastAsia" w:cstheme="minorEastAsia"/>
          <w:color w:val="000000"/>
          <w:sz w:val="24"/>
          <w:szCs w:val="24"/>
        </w:rPr>
        <w:t>年月日</w:t>
      </w:r>
    </w:p>
    <w:p w14:paraId="6B1BEE91">
      <w:pPr>
        <w:rPr>
          <w:rFonts w:hint="eastAsia"/>
          <w:color w:val="000000"/>
        </w:rPr>
      </w:pPr>
      <w:bookmarkStart w:id="66" w:name="_Toc3451"/>
      <w:r>
        <w:rPr>
          <w:rFonts w:hint="eastAsia"/>
          <w:color w:val="000000"/>
        </w:rPr>
        <w:br w:type="page"/>
      </w:r>
    </w:p>
    <w:bookmarkEnd w:id="42"/>
    <w:bookmarkEnd w:id="43"/>
    <w:bookmarkEnd w:id="44"/>
    <w:bookmarkEnd w:id="45"/>
    <w:bookmarkEnd w:id="66"/>
    <w:p w14:paraId="46E0B0CE">
      <w:pPr>
        <w:pageBreakBefore w:val="0"/>
        <w:kinsoku/>
        <w:wordWrap/>
        <w:overflowPunct/>
        <w:topLinePunct w:val="0"/>
        <w:bidi w:val="0"/>
        <w:spacing w:line="560" w:lineRule="exact"/>
        <w:textAlignment w:val="auto"/>
        <w:outlineLvl w:val="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附录：质疑书格式</w:t>
      </w:r>
    </w:p>
    <w:p w14:paraId="07976C4D">
      <w:pPr>
        <w:pageBreakBefore w:val="0"/>
        <w:widowControl/>
        <w:kinsoku/>
        <w:wordWrap/>
        <w:overflowPunct/>
        <w:topLinePunct w:val="0"/>
        <w:bidi w:val="0"/>
        <w:spacing w:line="560" w:lineRule="exact"/>
        <w:ind w:left="12" w:leftChars="-1" w:hanging="14" w:hangingChars="6"/>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质疑书</w:t>
      </w:r>
    </w:p>
    <w:p w14:paraId="09C34DF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一、质疑供应商基本信息</w:t>
      </w:r>
    </w:p>
    <w:p w14:paraId="4A04FBD3">
      <w:pPr>
        <w:pageBreakBefore w:val="0"/>
        <w:widowControl/>
        <w:kinsoku/>
        <w:wordWrap/>
        <w:overflowPunct/>
        <w:topLinePunct w:val="0"/>
        <w:bidi w:val="0"/>
        <w:spacing w:line="560" w:lineRule="exact"/>
        <w:ind w:firstLine="470" w:firstLineChars="196"/>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bidi="ar"/>
        </w:rPr>
        <w:t>质疑投标人：</w:t>
      </w:r>
      <w:r>
        <w:rPr>
          <w:rFonts w:hint="eastAsia" w:asciiTheme="minorEastAsia" w:hAnsiTheme="minorEastAsia" w:eastAsiaTheme="minorEastAsia" w:cstheme="minorEastAsia"/>
          <w:kern w:val="0"/>
          <w:sz w:val="24"/>
          <w:szCs w:val="24"/>
          <w:u w:val="single"/>
          <w:lang w:val="en-US" w:eastAsia="zh-CN" w:bidi="ar"/>
        </w:rPr>
        <w:t xml:space="preserve">            </w:t>
      </w:r>
    </w:p>
    <w:p w14:paraId="69A2649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39FDB7E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联系人：联系电话：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3FC6CA30">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授权代表：</w:t>
      </w:r>
      <w:r>
        <w:rPr>
          <w:rFonts w:hint="eastAsia" w:asciiTheme="minorEastAsia" w:hAnsiTheme="minorEastAsia" w:eastAsiaTheme="minorEastAsia" w:cstheme="minorEastAsia"/>
          <w:kern w:val="0"/>
          <w:sz w:val="24"/>
          <w:szCs w:val="24"/>
          <w:u w:val="single"/>
          <w:lang w:val="en-US" w:eastAsia="zh-CN" w:bidi="ar"/>
        </w:rPr>
        <w:t xml:space="preserve">            </w:t>
      </w:r>
    </w:p>
    <w:p w14:paraId="27498D5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联系电话：</w:t>
      </w:r>
      <w:r>
        <w:rPr>
          <w:rFonts w:hint="eastAsia" w:asciiTheme="minorEastAsia" w:hAnsiTheme="minorEastAsia" w:eastAsiaTheme="minorEastAsia" w:cstheme="minorEastAsia"/>
          <w:kern w:val="0"/>
          <w:sz w:val="24"/>
          <w:szCs w:val="24"/>
          <w:u w:val="single"/>
          <w:lang w:val="en-US" w:eastAsia="zh-CN" w:bidi="ar"/>
        </w:rPr>
        <w:t xml:space="preserve">            </w:t>
      </w:r>
    </w:p>
    <w:p w14:paraId="5650BF0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w:t>
      </w:r>
      <w:r>
        <w:rPr>
          <w:rFonts w:hint="eastAsia" w:asciiTheme="minorEastAsia" w:hAnsiTheme="minorEastAsia" w:eastAsiaTheme="minorEastAsia" w:cstheme="minorEastAsia"/>
          <w:kern w:val="0"/>
          <w:sz w:val="24"/>
          <w:szCs w:val="24"/>
          <w:u w:val="single"/>
          <w:lang w:val="en-US" w:eastAsia="zh-CN" w:bidi="ar"/>
        </w:rPr>
        <w:t xml:space="preserve">            </w:t>
      </w:r>
      <w:r>
        <w:rPr>
          <w:rFonts w:hint="eastAsia" w:asciiTheme="minorEastAsia" w:hAnsiTheme="minorEastAsia" w:eastAsiaTheme="minorEastAsia" w:cstheme="minorEastAsia"/>
          <w:kern w:val="0"/>
          <w:sz w:val="24"/>
          <w:szCs w:val="24"/>
          <w:lang w:bidi="ar"/>
        </w:rPr>
        <w:t>邮编：</w:t>
      </w:r>
      <w:r>
        <w:rPr>
          <w:rFonts w:hint="eastAsia" w:asciiTheme="minorEastAsia" w:hAnsiTheme="minorEastAsia" w:eastAsiaTheme="minorEastAsia" w:cstheme="minorEastAsia"/>
          <w:kern w:val="0"/>
          <w:sz w:val="24"/>
          <w:szCs w:val="24"/>
          <w:u w:val="single"/>
          <w:lang w:val="en-US" w:eastAsia="zh-CN" w:bidi="ar"/>
        </w:rPr>
        <w:t xml:space="preserve">            </w:t>
      </w:r>
    </w:p>
    <w:p w14:paraId="53095413">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二、质疑项目基本情况</w:t>
      </w:r>
    </w:p>
    <w:p w14:paraId="61C58D8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质疑项目的名称：</w:t>
      </w:r>
      <w:r>
        <w:rPr>
          <w:rFonts w:hint="eastAsia" w:asciiTheme="minorEastAsia" w:hAnsiTheme="minorEastAsia" w:eastAsiaTheme="minorEastAsia" w:cstheme="minorEastAsia"/>
          <w:kern w:val="0"/>
          <w:sz w:val="24"/>
          <w:szCs w:val="24"/>
          <w:u w:val="single"/>
          <w:lang w:eastAsia="zh-CN" w:bidi="ar"/>
        </w:rPr>
        <w:t xml:space="preserve">            </w:t>
      </w:r>
    </w:p>
    <w:p w14:paraId="55D4251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质疑项目的编号：包号：</w:t>
      </w:r>
      <w:r>
        <w:rPr>
          <w:rFonts w:hint="eastAsia" w:asciiTheme="minorEastAsia" w:hAnsiTheme="minorEastAsia" w:eastAsiaTheme="minorEastAsia" w:cstheme="minorEastAsia"/>
          <w:kern w:val="0"/>
          <w:sz w:val="24"/>
          <w:szCs w:val="24"/>
          <w:u w:val="single"/>
          <w:lang w:val="en-US" w:eastAsia="zh-CN" w:bidi="ar"/>
        </w:rPr>
        <w:t xml:space="preserve">            </w:t>
      </w:r>
    </w:p>
    <w:p w14:paraId="579F496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采购人名称：</w:t>
      </w:r>
      <w:r>
        <w:rPr>
          <w:rFonts w:hint="eastAsia" w:asciiTheme="minorEastAsia" w:hAnsiTheme="minorEastAsia" w:eastAsiaTheme="minorEastAsia" w:cstheme="minorEastAsia"/>
          <w:kern w:val="0"/>
          <w:sz w:val="24"/>
          <w:szCs w:val="24"/>
          <w:u w:val="single"/>
          <w:lang w:val="en-US" w:eastAsia="zh-CN" w:bidi="ar"/>
        </w:rPr>
        <w:t xml:space="preserve">            </w:t>
      </w:r>
    </w:p>
    <w:p w14:paraId="5697941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采购文件获取日期：</w:t>
      </w:r>
      <w:r>
        <w:rPr>
          <w:rFonts w:hint="eastAsia" w:asciiTheme="minorEastAsia" w:hAnsiTheme="minorEastAsia" w:eastAsiaTheme="minorEastAsia" w:cstheme="minorEastAsia"/>
          <w:kern w:val="0"/>
          <w:sz w:val="24"/>
          <w:szCs w:val="24"/>
          <w:u w:val="single"/>
          <w:lang w:val="en-US" w:eastAsia="zh-CN" w:bidi="ar"/>
        </w:rPr>
        <w:t xml:space="preserve">            </w:t>
      </w:r>
    </w:p>
    <w:p w14:paraId="6F65E2F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三、质疑事项具体内容</w:t>
      </w:r>
    </w:p>
    <w:p w14:paraId="0D3DA8FC">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质疑事项1：</w:t>
      </w:r>
      <w:r>
        <w:rPr>
          <w:rFonts w:hint="eastAsia" w:asciiTheme="minorEastAsia" w:hAnsiTheme="minorEastAsia" w:eastAsiaTheme="minorEastAsia" w:cstheme="minorEastAsia"/>
          <w:kern w:val="0"/>
          <w:sz w:val="24"/>
          <w:szCs w:val="24"/>
          <w:u w:val="single"/>
          <w:lang w:val="en-US" w:eastAsia="zh-CN" w:bidi="ar"/>
        </w:rPr>
        <w:t xml:space="preserve">            </w:t>
      </w:r>
    </w:p>
    <w:p w14:paraId="33F3512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kern w:val="0"/>
          <w:sz w:val="24"/>
          <w:szCs w:val="24"/>
          <w:lang w:bidi="ar"/>
        </w:rPr>
        <w:t>事实依据：</w:t>
      </w:r>
      <w:r>
        <w:rPr>
          <w:rFonts w:hint="eastAsia" w:asciiTheme="minorEastAsia" w:hAnsiTheme="minorEastAsia" w:eastAsiaTheme="minorEastAsia" w:cstheme="minorEastAsia"/>
          <w:kern w:val="0"/>
          <w:sz w:val="24"/>
          <w:szCs w:val="24"/>
          <w:u w:val="single"/>
          <w:lang w:val="en-US" w:eastAsia="zh-CN" w:bidi="ar"/>
        </w:rPr>
        <w:t xml:space="preserve">            </w:t>
      </w:r>
    </w:p>
    <w:p w14:paraId="492322A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lang w:bidi="ar"/>
        </w:rPr>
        <w:t>法律依据：</w:t>
      </w:r>
      <w:r>
        <w:rPr>
          <w:rFonts w:hint="eastAsia" w:asciiTheme="minorEastAsia" w:hAnsiTheme="minorEastAsia" w:eastAsiaTheme="minorEastAsia" w:cstheme="minorEastAsia"/>
          <w:kern w:val="0"/>
          <w:sz w:val="24"/>
          <w:szCs w:val="24"/>
          <w:u w:val="single"/>
          <w:lang w:val="en-US" w:eastAsia="zh-CN" w:bidi="ar"/>
        </w:rPr>
        <w:t xml:space="preserve">            </w:t>
      </w:r>
    </w:p>
    <w:p w14:paraId="3389DBE1">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质疑事项2</w:t>
      </w:r>
    </w:p>
    <w:p w14:paraId="4EF208FC">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w:t>
      </w:r>
    </w:p>
    <w:p w14:paraId="3A8C0B0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四、与质疑事项相关的质疑请求</w:t>
      </w:r>
    </w:p>
    <w:p w14:paraId="745EB024">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请求：</w:t>
      </w:r>
      <w:r>
        <w:rPr>
          <w:rFonts w:hint="eastAsia" w:asciiTheme="minorEastAsia" w:hAnsiTheme="minorEastAsia" w:eastAsiaTheme="minorEastAsia" w:cstheme="minorEastAsia"/>
          <w:kern w:val="0"/>
          <w:sz w:val="24"/>
          <w:szCs w:val="24"/>
          <w:u w:val="single"/>
          <w:lang w:val="en-US" w:eastAsia="zh-CN" w:bidi="ar"/>
        </w:rPr>
        <w:t xml:space="preserve">            </w:t>
      </w:r>
    </w:p>
    <w:p w14:paraId="0CA76DA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签字(签章)：公章：</w:t>
      </w:r>
      <w:r>
        <w:rPr>
          <w:rFonts w:hint="eastAsia" w:asciiTheme="minorEastAsia" w:hAnsiTheme="minorEastAsia" w:eastAsiaTheme="minorEastAsia" w:cstheme="minorEastAsia"/>
          <w:kern w:val="0"/>
          <w:sz w:val="24"/>
          <w:szCs w:val="24"/>
          <w:u w:val="single"/>
          <w:lang w:val="en-US" w:eastAsia="zh-CN" w:bidi="ar"/>
        </w:rPr>
        <w:t xml:space="preserve">            </w:t>
      </w:r>
    </w:p>
    <w:p w14:paraId="232A38EB">
      <w:pPr>
        <w:pageBreakBefore w:val="0"/>
        <w:widowControl/>
        <w:kinsoku/>
        <w:wordWrap/>
        <w:overflowPunct/>
        <w:topLinePunct w:val="0"/>
        <w:bidi w:val="0"/>
        <w:spacing w:line="560" w:lineRule="exact"/>
        <w:ind w:firstLine="470" w:firstLineChars="196"/>
        <w:jc w:val="left"/>
        <w:textAlignment w:val="auto"/>
        <w:outlineLvl w:val="9"/>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bidi="ar"/>
        </w:rPr>
        <w:t>日期：</w:t>
      </w:r>
    </w:p>
    <w:p w14:paraId="67B8279F">
      <w:pPr>
        <w:pageBreakBefore w:val="0"/>
        <w:widowControl/>
        <w:kinsoku/>
        <w:wordWrap/>
        <w:overflowPunct/>
        <w:topLinePunct w:val="0"/>
        <w:bidi w:val="0"/>
        <w:spacing w:line="560" w:lineRule="exact"/>
        <w:ind w:firstLine="470" w:firstLineChars="196"/>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质疑函制作说明：</w:t>
      </w:r>
    </w:p>
    <w:p w14:paraId="6BB6E8B8">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1.投标人提出质疑时，应提交质疑函和必要的证明材料。</w:t>
      </w:r>
    </w:p>
    <w:p w14:paraId="506F8AF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36999F7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3.质疑投标人若对项目的某一分包进行质疑，质疑函中应列明具体分包号。</w:t>
      </w:r>
    </w:p>
    <w:p w14:paraId="37C8A83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4.质疑函的质疑事项应具体、明确，并有必要的事实依据和法律依据。</w:t>
      </w:r>
    </w:p>
    <w:p w14:paraId="5854BE14">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5.质疑函的质疑请求应与质疑事项相关。</w:t>
      </w:r>
    </w:p>
    <w:p w14:paraId="4E8593A0">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6.质疑投标人为自然人的，质疑函应由本人签字；质疑投标人为法人或者其他组织的，质疑函应由法定代表人、主要负责人，或者其授权代表签字或者盖章，并加盖公章。</w:t>
      </w:r>
    </w:p>
    <w:p w14:paraId="4C683D6C">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019E4E9E">
      <w:pPr>
        <w:pageBreakBefore w:val="0"/>
        <w:kinsoku/>
        <w:wordWrap/>
        <w:overflowPunct/>
        <w:topLinePunct w:val="0"/>
        <w:bidi w:val="0"/>
        <w:spacing w:line="560" w:lineRule="exact"/>
        <w:textAlignment w:val="auto"/>
        <w:outlineLvl w:val="9"/>
        <w:rPr>
          <w:rFonts w:hint="eastAsia" w:asciiTheme="minorEastAsia" w:hAnsiTheme="minorEastAsia" w:eastAsiaTheme="minorEastAsia" w:cstheme="minorEastAsia"/>
          <w:color w:val="000000"/>
          <w:sz w:val="24"/>
          <w:szCs w:val="24"/>
        </w:rPr>
      </w:pPr>
    </w:p>
    <w:p w14:paraId="2E5BB6D9">
      <w:pPr>
        <w:pStyle w:val="14"/>
        <w:ind w:left="0" w:leftChars="0" w:firstLine="0" w:firstLineChars="0"/>
        <w:rPr>
          <w:rFonts w:hint="eastAsia"/>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Segoe UI Emoji">
    <w:panose1 w:val="020B0502040204020203"/>
    <w:charset w:val="00"/>
    <w:family w:val="auto"/>
    <w:pitch w:val="default"/>
    <w:sig w:usb0="00000001" w:usb1="02000000" w:usb2="00000000" w:usb3="00000000" w:csb0="00000001"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4A55">
    <w:pPr>
      <w:pStyle w:val="1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0"/>
        </w:tabs>
        <w:ind w:left="420" w:hanging="420"/>
      </w:pPr>
      <w:rPr>
        <w:rFonts w:hint="eastAsia"/>
      </w:rPr>
    </w:lvl>
    <w:lvl w:ilvl="1" w:tentative="0">
      <w:start w:val="1"/>
      <w:numFmt w:val="decimal"/>
      <w:pStyle w:val="22"/>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9E0"/>
    <w:rsid w:val="00E32D5A"/>
    <w:rsid w:val="01885C70"/>
    <w:rsid w:val="029E162E"/>
    <w:rsid w:val="03C736FA"/>
    <w:rsid w:val="04782CF0"/>
    <w:rsid w:val="052027CE"/>
    <w:rsid w:val="05AF5900"/>
    <w:rsid w:val="0B136931"/>
    <w:rsid w:val="0C1B3CF0"/>
    <w:rsid w:val="0CD768E7"/>
    <w:rsid w:val="110030B4"/>
    <w:rsid w:val="116033AA"/>
    <w:rsid w:val="132A1E25"/>
    <w:rsid w:val="143E28D8"/>
    <w:rsid w:val="16107591"/>
    <w:rsid w:val="163B51D6"/>
    <w:rsid w:val="172C5003"/>
    <w:rsid w:val="17A96653"/>
    <w:rsid w:val="1A7B1DFD"/>
    <w:rsid w:val="1D9B6A3E"/>
    <w:rsid w:val="1DC3609F"/>
    <w:rsid w:val="1DC835AB"/>
    <w:rsid w:val="1E1E141D"/>
    <w:rsid w:val="207672EF"/>
    <w:rsid w:val="22F72C30"/>
    <w:rsid w:val="26FE003E"/>
    <w:rsid w:val="27FC7598"/>
    <w:rsid w:val="29AB625B"/>
    <w:rsid w:val="2E8C5FB6"/>
    <w:rsid w:val="2EC855A2"/>
    <w:rsid w:val="2FD302BA"/>
    <w:rsid w:val="31CC3212"/>
    <w:rsid w:val="32B5039B"/>
    <w:rsid w:val="3344327C"/>
    <w:rsid w:val="34525509"/>
    <w:rsid w:val="35FA1818"/>
    <w:rsid w:val="37701047"/>
    <w:rsid w:val="377753EA"/>
    <w:rsid w:val="37D416A4"/>
    <w:rsid w:val="3859162A"/>
    <w:rsid w:val="38FB0050"/>
    <w:rsid w:val="3A32781E"/>
    <w:rsid w:val="3BA7084C"/>
    <w:rsid w:val="3CBF4230"/>
    <w:rsid w:val="3DE418E4"/>
    <w:rsid w:val="3E1877DF"/>
    <w:rsid w:val="3EDB2CE7"/>
    <w:rsid w:val="3FA4757D"/>
    <w:rsid w:val="400E0E9A"/>
    <w:rsid w:val="42666D6B"/>
    <w:rsid w:val="42BE177B"/>
    <w:rsid w:val="4464552C"/>
    <w:rsid w:val="460E39A2"/>
    <w:rsid w:val="46A75BA4"/>
    <w:rsid w:val="4723347D"/>
    <w:rsid w:val="497C6795"/>
    <w:rsid w:val="49AC7F51"/>
    <w:rsid w:val="4AAD3720"/>
    <w:rsid w:val="4E801F14"/>
    <w:rsid w:val="4E872543"/>
    <w:rsid w:val="5088217D"/>
    <w:rsid w:val="565F3DA6"/>
    <w:rsid w:val="5710310F"/>
    <w:rsid w:val="57DD2B28"/>
    <w:rsid w:val="59883613"/>
    <w:rsid w:val="5AA91A93"/>
    <w:rsid w:val="5E960581"/>
    <w:rsid w:val="5EDD7F5D"/>
    <w:rsid w:val="604846B8"/>
    <w:rsid w:val="62FB4E56"/>
    <w:rsid w:val="637864A7"/>
    <w:rsid w:val="63E37DC4"/>
    <w:rsid w:val="64035727"/>
    <w:rsid w:val="641E704E"/>
    <w:rsid w:val="69072618"/>
    <w:rsid w:val="693F340F"/>
    <w:rsid w:val="6CA41B43"/>
    <w:rsid w:val="6F8E4E37"/>
    <w:rsid w:val="733046A8"/>
    <w:rsid w:val="74C723A3"/>
    <w:rsid w:val="763A272E"/>
    <w:rsid w:val="79E07D62"/>
    <w:rsid w:val="7CE91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800" w:lineRule="exact"/>
      <w:ind w:firstLine="0" w:firstLineChars="0"/>
      <w:jc w:val="center"/>
      <w:outlineLvl w:val="0"/>
    </w:pPr>
    <w:rPr>
      <w:rFonts w:ascii="Arial" w:hAnsi="Arial"/>
      <w:b/>
      <w:bCs/>
      <w:kern w:val="44"/>
      <w:sz w:val="36"/>
      <w:szCs w:val="44"/>
    </w:rPr>
  </w:style>
  <w:style w:type="paragraph" w:styleId="3">
    <w:name w:val="heading 3"/>
    <w:basedOn w:val="1"/>
    <w:next w:val="1"/>
    <w:qFormat/>
    <w:uiPriority w:val="9"/>
    <w:pPr>
      <w:keepNext/>
      <w:keepLines/>
      <w:spacing w:line="500" w:lineRule="exact"/>
      <w:jc w:val="left"/>
      <w:outlineLvl w:val="2"/>
    </w:pPr>
    <w:rPr>
      <w:bCs/>
      <w:sz w:val="24"/>
      <w:szCs w:val="32"/>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Body Text"/>
    <w:basedOn w:val="1"/>
    <w:qFormat/>
    <w:uiPriority w:val="0"/>
    <w:pPr>
      <w:tabs>
        <w:tab w:val="left" w:pos="562"/>
        <w:tab w:val="left" w:pos="3372"/>
        <w:tab w:val="left" w:pos="3653"/>
      </w:tabs>
    </w:pPr>
    <w:rPr>
      <w:sz w:val="24"/>
    </w:rPr>
  </w:style>
  <w:style w:type="paragraph" w:styleId="7">
    <w:name w:val="Body Text Indent"/>
    <w:basedOn w:val="1"/>
    <w:next w:val="8"/>
    <w:qFormat/>
    <w:uiPriority w:val="0"/>
    <w:pPr>
      <w:ind w:firstLine="645"/>
    </w:pPr>
    <w:rPr>
      <w:rFonts w:ascii="楷体_GB2312" w:eastAsia="楷体_GB2312"/>
      <w:sz w:val="32"/>
      <w:szCs w:val="20"/>
    </w:r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39"/>
    <w:pPr>
      <w:tabs>
        <w:tab w:val="right" w:leader="middleDot" w:pos="8460"/>
      </w:tabs>
      <w:spacing w:line="360" w:lineRule="exact"/>
    </w:pPr>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6"/>
    <w:qFormat/>
    <w:uiPriority w:val="0"/>
    <w:pPr>
      <w:spacing w:after="120" w:afterLines="0"/>
      <w:ind w:firstLine="420" w:firstLineChars="100"/>
    </w:pPr>
    <w:rPr>
      <w:sz w:val="21"/>
    </w:rPr>
  </w:style>
  <w:style w:type="paragraph" w:styleId="14">
    <w:name w:val="Body Text First Indent 2"/>
    <w:basedOn w:val="7"/>
    <w:next w:val="1"/>
    <w:qFormat/>
    <w:uiPriority w:val="0"/>
    <w:pPr>
      <w:ind w:firstLine="420" w:firstLineChars="200"/>
    </w:pPr>
  </w:style>
  <w:style w:type="paragraph" w:customStyle="1" w:styleId="17">
    <w:name w:val="图片"/>
    <w:basedOn w:val="1"/>
    <w:qFormat/>
    <w:uiPriority w:val="0"/>
    <w:pPr>
      <w:spacing w:before="2" w:line="359" w:lineRule="auto"/>
      <w:ind w:right="128"/>
    </w:pPr>
    <w:rPr>
      <w:rFonts w:hint="eastAsia" w:ascii="Times New Roman" w:hAnsi="Times New Roman" w:eastAsia="宋体" w:cs="Times New Roman"/>
      <w:snapToGrid w:val="0"/>
      <w:color w:val="000000"/>
      <w:spacing w:val="4"/>
      <w:kern w:val="0"/>
      <w:sz w:val="24"/>
      <w:szCs w:val="24"/>
      <w:lang w:eastAsia="zh-CN"/>
    </w:rPr>
  </w:style>
  <w:style w:type="paragraph" w:customStyle="1" w:styleId="18">
    <w:name w:val="样式1"/>
    <w:basedOn w:val="1"/>
    <w:qFormat/>
    <w:uiPriority w:val="0"/>
    <w:pPr>
      <w:widowControl/>
      <w:jc w:val="left"/>
      <w:outlineLvl w:val="0"/>
    </w:pPr>
    <w:rPr>
      <w:rFonts w:hint="eastAsia" w:ascii="黑体" w:hAnsi="黑体" w:eastAsia="黑体" w:cs="黑体"/>
      <w:kern w:val="0"/>
      <w:szCs w:val="32"/>
      <w:lang w:bidi="ar"/>
    </w:rPr>
  </w:style>
  <w:style w:type="paragraph" w:customStyle="1" w:styleId="19">
    <w:name w:val="黑体三号"/>
    <w:basedOn w:val="1"/>
    <w:qFormat/>
    <w:uiPriority w:val="0"/>
    <w:pPr>
      <w:widowControl/>
      <w:jc w:val="left"/>
      <w:outlineLvl w:val="0"/>
    </w:pPr>
    <w:rPr>
      <w:rFonts w:hint="eastAsia" w:ascii="黑体" w:hAnsi="黑体" w:eastAsia="黑体" w:cs="黑体"/>
      <w:kern w:val="0"/>
      <w:szCs w:val="32"/>
      <w:lang w:bidi="ar"/>
    </w:rPr>
  </w:style>
  <w:style w:type="paragraph" w:customStyle="1" w:styleId="20">
    <w:name w:val="楷体加粗三号"/>
    <w:basedOn w:val="1"/>
    <w:qFormat/>
    <w:uiPriority w:val="0"/>
    <w:pPr>
      <w:widowControl/>
      <w:jc w:val="left"/>
      <w:outlineLvl w:val="1"/>
    </w:pPr>
    <w:rPr>
      <w:rFonts w:hint="eastAsia" w:ascii="楷体" w:hAnsi="楷体" w:eastAsia="楷体" w:cs="楷体"/>
      <w:b/>
      <w:bCs/>
      <w:kern w:val="0"/>
      <w:szCs w:val="32"/>
      <w:lang w:bidi="ar"/>
    </w:rPr>
  </w:style>
  <w:style w:type="paragraph" w:customStyle="1" w:styleId="21">
    <w:name w:val="仿宋三号正文"/>
    <w:basedOn w:val="1"/>
    <w:qFormat/>
    <w:uiPriority w:val="0"/>
    <w:pPr>
      <w:widowControl/>
      <w:jc w:val="left"/>
    </w:pPr>
    <w:rPr>
      <w:rFonts w:hint="eastAsia" w:ascii="仿宋" w:hAnsi="仿宋" w:cs="仿宋"/>
      <w:kern w:val="0"/>
      <w:szCs w:val="32"/>
      <w:lang w:bidi="ar"/>
    </w:rPr>
  </w:style>
  <w:style w:type="paragraph" w:customStyle="1" w:styleId="22">
    <w:name w:val="（符号）三标题1.1"/>
    <w:basedOn w:val="1"/>
    <w:qFormat/>
    <w:uiPriority w:val="0"/>
    <w:pPr>
      <w:numPr>
        <w:ilvl w:val="1"/>
        <w:numId w:val="1"/>
      </w:numPr>
      <w:spacing w:line="500" w:lineRule="exact"/>
    </w:pPr>
    <w:rPr>
      <w:rFonts w:ascii="宋体" w:hAnsi="宋体"/>
      <w:sz w:val="24"/>
    </w:rPr>
  </w:style>
  <w:style w:type="paragraph" w:customStyle="1" w:styleId="23">
    <w:name w:val="Table Paragraph"/>
    <w:basedOn w:val="1"/>
    <w:qFormat/>
    <w:uiPriority w:val="1"/>
    <w:rPr>
      <w:rFonts w:ascii="宋体" w:hAnsi="宋体" w:eastAsia="宋体" w:cs="宋体"/>
      <w:lang w:val="en-US" w:eastAsia="zh-CN" w:bidi="ar-SA"/>
    </w:r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26933</Words>
  <Characters>27528</Characters>
  <Lines>0</Lines>
  <Paragraphs>0</Paragraphs>
  <TotalTime>2</TotalTime>
  <ScaleCrop>false</ScaleCrop>
  <LinksUpToDate>false</LinksUpToDate>
  <CharactersWithSpaces>28747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2025-01-08T03:23:00Z</dcterms:created>
  <dc:creator>工程技术部</dc:creator>
  <cp:lastModifiedBy>小&amp;杰</cp:lastModifiedBy>
  <dcterms:modified xsi:type="dcterms:W3CDTF">2026-03-17T01:21:44Z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E93525E4A36046A88106FBAC56908856_13</vt:lpwstr>
  </property>
  <property fmtid="{D5CDD505-2E9C-101B-9397-08002B2CF9AE}" pid="4" name="KSOTemplateDocerSaveRecord">
    <vt:lpwstr>eyJoZGlkIjoiZGQ3OTEwODkzYmMyZmRjODJlNDY3YzQyYzdmMTYyZjAiLCJ1c2VySWQiOiIzNDY3NDYyNDkifQ==</vt:lpwstr>
  </property>
</Properties>
</file>