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3827F3">
      <w:pPr>
        <w:spacing w:line="800" w:lineRule="exact"/>
        <w:ind w:right="-33"/>
        <w:rPr>
          <w:rFonts w:hint="eastAsia" w:ascii="黑体" w:hAnsi="黑体" w:eastAsia="黑体" w:cs="黑体"/>
          <w:b/>
          <w:w w:val="90"/>
          <w:kern w:val="52"/>
          <w:sz w:val="68"/>
          <w:szCs w:val="68"/>
        </w:rPr>
      </w:pPr>
    </w:p>
    <w:p w14:paraId="015B7448">
      <w:pPr>
        <w:spacing w:line="800" w:lineRule="exact"/>
        <w:ind w:right="-33"/>
        <w:rPr>
          <w:rFonts w:hint="eastAsia" w:ascii="黑体" w:hAnsi="黑体" w:eastAsia="黑体" w:cs="黑体"/>
          <w:b/>
          <w:w w:val="90"/>
          <w:kern w:val="52"/>
          <w:sz w:val="68"/>
          <w:szCs w:val="68"/>
        </w:rPr>
      </w:pPr>
    </w:p>
    <w:p w14:paraId="334DC0C1">
      <w:pPr>
        <w:spacing w:line="800" w:lineRule="exact"/>
        <w:ind w:right="-33"/>
        <w:rPr>
          <w:rFonts w:hint="eastAsia"/>
          <w:sz w:val="68"/>
          <w:szCs w:val="68"/>
        </w:rPr>
      </w:pPr>
    </w:p>
    <w:p w14:paraId="0A1D5549">
      <w:pPr>
        <w:spacing w:line="800" w:lineRule="exact"/>
        <w:ind w:right="-33"/>
        <w:rPr>
          <w:rFonts w:hint="eastAsia"/>
          <w:sz w:val="56"/>
          <w:szCs w:val="56"/>
        </w:rPr>
      </w:pPr>
    </w:p>
    <w:p w14:paraId="363896ED">
      <w:pPr>
        <w:spacing w:line="288" w:lineRule="auto"/>
        <w:ind w:right="-163"/>
        <w:jc w:val="center"/>
        <w:rPr>
          <w:rFonts w:hint="eastAsia" w:ascii="黑体" w:hAnsi="黑体" w:eastAsia="黑体" w:cs="黑体"/>
          <w:b/>
          <w:w w:val="90"/>
          <w:kern w:val="52"/>
          <w:sz w:val="56"/>
          <w:szCs w:val="56"/>
          <w:lang w:val="en-US" w:eastAsia="zh-CN"/>
        </w:rPr>
      </w:pPr>
      <w:r>
        <w:rPr>
          <w:rFonts w:hint="eastAsia" w:ascii="黑体" w:hAnsi="黑体" w:eastAsia="黑体" w:cs="黑体"/>
          <w:b/>
          <w:w w:val="90"/>
          <w:kern w:val="52"/>
          <w:sz w:val="56"/>
          <w:szCs w:val="56"/>
          <w:lang w:val="en-US" w:eastAsia="zh-CN"/>
        </w:rPr>
        <w:t>张家口霖辉物业管理集团有限公司</w:t>
      </w:r>
    </w:p>
    <w:p w14:paraId="193AB34B">
      <w:pPr>
        <w:spacing w:line="288" w:lineRule="auto"/>
        <w:ind w:right="-163"/>
        <w:jc w:val="center"/>
        <w:rPr>
          <w:rFonts w:hint="default" w:ascii="楷体" w:hAnsi="楷体" w:eastAsia="楷体" w:cs="楷体_GB2312"/>
          <w:b/>
          <w:w w:val="90"/>
          <w:kern w:val="52"/>
          <w:sz w:val="56"/>
          <w:szCs w:val="56"/>
          <w:lang w:val="en-US" w:eastAsia="zh-CN"/>
        </w:rPr>
      </w:pPr>
      <w:r>
        <w:rPr>
          <w:rFonts w:hint="eastAsia" w:ascii="黑体" w:hAnsi="黑体" w:eastAsia="黑体" w:cs="黑体"/>
          <w:b/>
          <w:w w:val="90"/>
          <w:kern w:val="52"/>
          <w:sz w:val="56"/>
          <w:szCs w:val="56"/>
          <w:lang w:val="en-US" w:eastAsia="zh-CN"/>
        </w:rPr>
        <w:t>张家口市桥东区“建发集团办公楼”综合维修服务工程项目</w:t>
      </w:r>
    </w:p>
    <w:p w14:paraId="7CCFA999">
      <w:pPr>
        <w:pStyle w:val="6"/>
        <w:spacing w:line="288" w:lineRule="auto"/>
        <w:outlineLvl w:val="9"/>
        <w:rPr>
          <w:rFonts w:hint="eastAsia" w:ascii="楷体" w:hAnsi="楷体" w:eastAsia="楷体" w:cs="楷体_GB2312"/>
          <w:sz w:val="56"/>
          <w:szCs w:val="56"/>
        </w:rPr>
      </w:pPr>
    </w:p>
    <w:p w14:paraId="46A386FD">
      <w:pPr>
        <w:pStyle w:val="6"/>
        <w:spacing w:line="288" w:lineRule="auto"/>
        <w:outlineLvl w:val="9"/>
        <w:rPr>
          <w:rFonts w:hint="eastAsia" w:ascii="楷体" w:hAnsi="楷体" w:eastAsia="楷体" w:cs="楷体_GB2312"/>
          <w:sz w:val="56"/>
          <w:szCs w:val="56"/>
        </w:rPr>
      </w:pPr>
    </w:p>
    <w:p w14:paraId="0D7EBF36">
      <w:pPr>
        <w:pStyle w:val="6"/>
        <w:tabs>
          <w:tab w:val="left" w:pos="900"/>
          <w:tab w:val="clear" w:pos="562"/>
          <w:tab w:val="clear" w:pos="3372"/>
          <w:tab w:val="clear" w:pos="3653"/>
        </w:tabs>
        <w:spacing w:line="288" w:lineRule="auto"/>
        <w:jc w:val="center"/>
        <w:outlineLvl w:val="0"/>
        <w:rPr>
          <w:rFonts w:hint="eastAsia" w:ascii="黑体" w:hAnsi="黑体" w:eastAsia="黑体" w:cs="黑体"/>
          <w:b/>
          <w:bCs/>
          <w:sz w:val="56"/>
          <w:szCs w:val="56"/>
        </w:rPr>
      </w:pPr>
      <w:r>
        <w:rPr>
          <w:rFonts w:hint="eastAsia" w:ascii="黑体" w:hAnsi="黑体" w:eastAsia="黑体" w:cs="黑体"/>
          <w:b/>
          <w:bCs/>
          <w:sz w:val="56"/>
          <w:szCs w:val="56"/>
        </w:rPr>
        <w:t>询比采购</w:t>
      </w:r>
      <w:bookmarkStart w:id="0" w:name="_Toc16161"/>
      <w:bookmarkStart w:id="1" w:name="_Toc17339"/>
      <w:bookmarkStart w:id="2" w:name="_Toc31976"/>
      <w:bookmarkStart w:id="3" w:name="_Toc10192"/>
      <w:bookmarkStart w:id="4" w:name="_Toc27553"/>
      <w:bookmarkStart w:id="5" w:name="_Toc10990"/>
      <w:bookmarkStart w:id="6" w:name="_Toc516235271"/>
      <w:bookmarkStart w:id="7" w:name="_Toc23807"/>
      <w:bookmarkStart w:id="8" w:name="_Toc11489"/>
      <w:bookmarkStart w:id="9" w:name="_Toc11733"/>
      <w:bookmarkStart w:id="10" w:name="_Toc8189"/>
      <w:bookmarkStart w:id="11" w:name="_Toc19047"/>
      <w:r>
        <w:rPr>
          <w:rFonts w:hint="eastAsia" w:ascii="黑体" w:hAnsi="黑体" w:eastAsia="黑体" w:cs="黑体"/>
          <w:b/>
          <w:bCs/>
          <w:sz w:val="56"/>
          <w:szCs w:val="56"/>
        </w:rPr>
        <w:t>文件</w:t>
      </w:r>
      <w:bookmarkEnd w:id="0"/>
      <w:bookmarkEnd w:id="1"/>
      <w:bookmarkEnd w:id="2"/>
      <w:bookmarkEnd w:id="3"/>
      <w:bookmarkEnd w:id="4"/>
      <w:bookmarkEnd w:id="5"/>
      <w:bookmarkEnd w:id="6"/>
      <w:bookmarkEnd w:id="7"/>
      <w:bookmarkEnd w:id="8"/>
      <w:bookmarkEnd w:id="9"/>
      <w:bookmarkEnd w:id="10"/>
      <w:bookmarkEnd w:id="11"/>
    </w:p>
    <w:p w14:paraId="07EC5C95">
      <w:pPr>
        <w:pStyle w:val="6"/>
        <w:spacing w:line="288" w:lineRule="auto"/>
        <w:jc w:val="center"/>
        <w:outlineLvl w:val="9"/>
        <w:rPr>
          <w:rFonts w:hint="eastAsia" w:ascii="黑体" w:hAnsi="黑体" w:eastAsia="黑体" w:cs="黑体"/>
          <w:b/>
          <w:bCs/>
          <w:sz w:val="30"/>
          <w:szCs w:val="30"/>
          <w:lang w:eastAsia="zh-CN"/>
        </w:rPr>
      </w:pPr>
    </w:p>
    <w:p w14:paraId="76541BCB">
      <w:pPr>
        <w:pStyle w:val="6"/>
        <w:spacing w:line="288" w:lineRule="auto"/>
        <w:outlineLvl w:val="9"/>
        <w:rPr>
          <w:rFonts w:hint="eastAsia" w:ascii="黑体" w:hAnsi="黑体" w:eastAsia="黑体" w:cs="黑体"/>
          <w:sz w:val="30"/>
          <w:szCs w:val="30"/>
        </w:rPr>
      </w:pPr>
    </w:p>
    <w:p w14:paraId="05C75075">
      <w:pPr>
        <w:pStyle w:val="6"/>
        <w:spacing w:line="288" w:lineRule="auto"/>
        <w:outlineLvl w:val="9"/>
        <w:rPr>
          <w:rFonts w:hint="eastAsia" w:ascii="黑体" w:hAnsi="黑体" w:eastAsia="黑体" w:cs="黑体"/>
          <w:sz w:val="30"/>
          <w:szCs w:val="30"/>
        </w:rPr>
      </w:pPr>
    </w:p>
    <w:p w14:paraId="3BD4FF49">
      <w:pPr>
        <w:pStyle w:val="6"/>
        <w:spacing w:line="288" w:lineRule="auto"/>
        <w:outlineLvl w:val="9"/>
        <w:rPr>
          <w:rFonts w:hint="eastAsia" w:ascii="黑体" w:hAnsi="黑体" w:eastAsia="黑体" w:cs="黑体"/>
          <w:sz w:val="30"/>
          <w:szCs w:val="30"/>
        </w:rPr>
      </w:pPr>
    </w:p>
    <w:p w14:paraId="097087CF">
      <w:pPr>
        <w:pStyle w:val="6"/>
        <w:spacing w:line="288" w:lineRule="auto"/>
        <w:outlineLvl w:val="9"/>
        <w:rPr>
          <w:rFonts w:hint="eastAsia" w:ascii="黑体" w:hAnsi="黑体" w:eastAsia="黑体" w:cs="黑体"/>
          <w:sz w:val="30"/>
          <w:szCs w:val="30"/>
        </w:rPr>
      </w:pPr>
    </w:p>
    <w:p w14:paraId="47BDD543">
      <w:pPr>
        <w:pStyle w:val="6"/>
        <w:spacing w:line="800" w:lineRule="exact"/>
        <w:outlineLvl w:val="9"/>
        <w:rPr>
          <w:rFonts w:hint="eastAsia" w:ascii="黑体" w:hAnsi="黑体" w:eastAsia="黑体" w:cs="黑体"/>
          <w:b/>
          <w:bCs/>
          <w:sz w:val="32"/>
          <w:szCs w:val="32"/>
        </w:rPr>
      </w:pPr>
      <w:bookmarkStart w:id="12" w:name="_Toc3374"/>
      <w:bookmarkStart w:id="13" w:name="_Toc7426"/>
      <w:bookmarkStart w:id="14" w:name="_Toc28497"/>
      <w:bookmarkStart w:id="15" w:name="_Toc19294"/>
      <w:bookmarkStart w:id="16" w:name="_Toc19507"/>
      <w:bookmarkStart w:id="17" w:name="_Toc3316"/>
      <w:bookmarkStart w:id="18" w:name="_Toc26372"/>
      <w:bookmarkStart w:id="19" w:name="_Toc24700"/>
      <w:bookmarkStart w:id="20" w:name="_Toc15976"/>
      <w:bookmarkStart w:id="21" w:name="_Toc21566"/>
      <w:bookmarkStart w:id="22" w:name="_Toc25456"/>
      <w:bookmarkStart w:id="23" w:name="_Toc516235273"/>
      <w:r>
        <w:rPr>
          <w:rFonts w:hint="eastAsia" w:ascii="黑体" w:hAnsi="黑体" w:eastAsia="黑体" w:cs="黑体"/>
          <w:b/>
          <w:bCs/>
          <w:sz w:val="32"/>
          <w:szCs w:val="32"/>
        </w:rPr>
        <w:t>采购单位：</w:t>
      </w:r>
      <w:bookmarkEnd w:id="12"/>
      <w:bookmarkEnd w:id="13"/>
      <w:bookmarkEnd w:id="14"/>
      <w:bookmarkEnd w:id="15"/>
      <w:bookmarkEnd w:id="16"/>
      <w:bookmarkEnd w:id="17"/>
      <w:bookmarkEnd w:id="18"/>
      <w:bookmarkEnd w:id="19"/>
      <w:bookmarkEnd w:id="20"/>
      <w:bookmarkEnd w:id="21"/>
      <w:bookmarkEnd w:id="22"/>
      <w:bookmarkEnd w:id="23"/>
      <w:r>
        <w:rPr>
          <w:rFonts w:hint="eastAsia" w:ascii="黑体" w:hAnsi="黑体" w:eastAsia="黑体" w:cs="黑体"/>
          <w:b/>
          <w:bCs/>
          <w:sz w:val="32"/>
          <w:szCs w:val="32"/>
          <w:lang w:val="en-US" w:eastAsia="zh-CN"/>
        </w:rPr>
        <w:t>张家口霖辉物业管理集团有限公司</w:t>
      </w:r>
    </w:p>
    <w:p w14:paraId="00FC3AE0">
      <w:pPr>
        <w:pStyle w:val="6"/>
        <w:spacing w:line="800" w:lineRule="exact"/>
        <w:outlineLvl w:val="9"/>
        <w:rPr>
          <w:rFonts w:hint="eastAsia" w:ascii="黑体" w:hAnsi="黑体" w:eastAsia="黑体" w:cs="黑体"/>
          <w:b/>
          <w:bCs/>
          <w:sz w:val="32"/>
          <w:szCs w:val="32"/>
        </w:rPr>
      </w:pPr>
      <w:bookmarkStart w:id="24" w:name="_Toc2112"/>
      <w:bookmarkStart w:id="25" w:name="_Toc26166"/>
      <w:bookmarkStart w:id="26" w:name="_Toc30236"/>
      <w:bookmarkStart w:id="27" w:name="_Toc10996"/>
      <w:bookmarkStart w:id="28" w:name="_Toc516235275"/>
      <w:bookmarkStart w:id="29" w:name="_Toc2171"/>
      <w:bookmarkStart w:id="30" w:name="_Toc16456"/>
      <w:bookmarkStart w:id="31" w:name="_Toc11462"/>
      <w:bookmarkStart w:id="32" w:name="_Toc28335"/>
      <w:bookmarkStart w:id="33" w:name="_Toc11538"/>
      <w:bookmarkStart w:id="34" w:name="_Toc22648"/>
      <w:bookmarkStart w:id="35" w:name="_Toc20462"/>
      <w:r>
        <w:rPr>
          <w:rFonts w:hint="eastAsia" w:ascii="黑体" w:hAnsi="黑体" w:eastAsia="黑体" w:cs="黑体"/>
          <w:b/>
          <w:bCs/>
          <w:sz w:val="32"/>
          <w:szCs w:val="32"/>
        </w:rPr>
        <w:t>编制日期：202</w:t>
      </w:r>
      <w:r>
        <w:rPr>
          <w:rFonts w:hint="eastAsia" w:ascii="黑体" w:hAnsi="黑体" w:eastAsia="黑体" w:cs="黑体"/>
          <w:b/>
          <w:bCs/>
          <w:sz w:val="32"/>
          <w:szCs w:val="32"/>
          <w:lang w:val="en-US" w:eastAsia="zh-CN"/>
        </w:rPr>
        <w:t>5</w:t>
      </w:r>
      <w:r>
        <w:rPr>
          <w:rFonts w:hint="eastAsia" w:ascii="黑体" w:hAnsi="黑体" w:eastAsia="黑体" w:cs="黑体"/>
          <w:b/>
          <w:bCs/>
          <w:sz w:val="32"/>
          <w:szCs w:val="32"/>
        </w:rPr>
        <w:t>年</w:t>
      </w:r>
      <w:r>
        <w:rPr>
          <w:rFonts w:hint="eastAsia" w:ascii="黑体" w:hAnsi="黑体" w:eastAsia="黑体" w:cs="黑体"/>
          <w:b/>
          <w:bCs/>
          <w:sz w:val="32"/>
          <w:szCs w:val="32"/>
          <w:lang w:val="en-US" w:eastAsia="zh-CN"/>
        </w:rPr>
        <w:t>1</w:t>
      </w:r>
      <w:r>
        <w:rPr>
          <w:rFonts w:hint="eastAsia" w:ascii="黑体" w:hAnsi="黑体" w:eastAsia="黑体" w:cs="黑体"/>
          <w:b/>
          <w:bCs/>
          <w:sz w:val="32"/>
          <w:szCs w:val="32"/>
        </w:rPr>
        <w:t>月</w:t>
      </w:r>
      <w:bookmarkEnd w:id="24"/>
      <w:bookmarkEnd w:id="25"/>
      <w:bookmarkEnd w:id="26"/>
      <w:bookmarkEnd w:id="27"/>
      <w:bookmarkEnd w:id="28"/>
      <w:bookmarkEnd w:id="29"/>
      <w:bookmarkEnd w:id="30"/>
      <w:bookmarkEnd w:id="31"/>
      <w:bookmarkEnd w:id="32"/>
      <w:bookmarkEnd w:id="33"/>
      <w:bookmarkEnd w:id="34"/>
      <w:bookmarkEnd w:id="35"/>
    </w:p>
    <w:p w14:paraId="1FF655B2">
      <w:pPr>
        <w:outlineLvl w:val="9"/>
        <w:rPr>
          <w:rFonts w:hint="eastAsia"/>
          <w:b w:val="0"/>
          <w:bCs w:val="0"/>
          <w:color w:val="000000"/>
        </w:rPr>
      </w:pPr>
      <w:r>
        <w:rPr>
          <w:rFonts w:hint="eastAsia"/>
          <w:b w:val="0"/>
          <w:bCs w:val="0"/>
          <w:color w:val="000000"/>
        </w:rPr>
        <w:br w:type="page"/>
      </w:r>
    </w:p>
    <w:p w14:paraId="4A211529">
      <w:pPr>
        <w:pStyle w:val="2"/>
        <w:spacing w:line="360" w:lineRule="exact"/>
        <w:rPr>
          <w:rFonts w:hint="eastAsia"/>
          <w:b w:val="0"/>
          <w:bCs w:val="0"/>
          <w:color w:val="000000"/>
        </w:rPr>
      </w:pPr>
      <w:r>
        <w:rPr>
          <w:rFonts w:hint="eastAsia"/>
          <w:b w:val="0"/>
          <w:bCs w:val="0"/>
          <w:color w:val="000000"/>
        </w:rPr>
        <w:t>第一部分</w:t>
      </w:r>
      <w:r>
        <w:rPr>
          <w:rFonts w:hint="eastAsia"/>
          <w:b w:val="0"/>
          <w:bCs w:val="0"/>
          <w:color w:val="000000"/>
          <w:lang w:val="en-US" w:eastAsia="zh-CN"/>
        </w:rPr>
        <w:t xml:space="preserve">  询比</w:t>
      </w:r>
      <w:r>
        <w:rPr>
          <w:rFonts w:hint="eastAsia"/>
          <w:b w:val="0"/>
          <w:bCs w:val="0"/>
          <w:color w:val="000000"/>
        </w:rPr>
        <w:t>邀请函</w:t>
      </w:r>
    </w:p>
    <w:p w14:paraId="6746092F">
      <w:pPr>
        <w:pStyle w:val="9"/>
        <w:spacing w:line="420" w:lineRule="exact"/>
        <w:rPr>
          <w:rFonts w:hint="eastAsia"/>
          <w:color w:val="000000"/>
        </w:rPr>
      </w:pPr>
    </w:p>
    <w:p w14:paraId="3B865FA7">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一、项目名称：张家口市桥东区“建发集团办公楼”综合维修服务工程项目</w:t>
      </w:r>
    </w:p>
    <w:p w14:paraId="31DF3951">
      <w:pPr>
        <w:spacing w:line="360" w:lineRule="auto"/>
        <w:ind w:firstLine="480" w:firstLineChars="200"/>
        <w:jc w:val="both"/>
        <w:outlineLvl w:val="9"/>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二、采购内容：本项目主要是保证张家口市桥东区“建发集团办公楼”综合维修服务工程项目服务工作，内容包括</w:t>
      </w:r>
      <w:r>
        <w:rPr>
          <w:rFonts w:hint="default" w:ascii="宋体" w:hAnsi="宋体" w:eastAsia="宋体" w:cs="宋体"/>
          <w:spacing w:val="-1"/>
          <w:sz w:val="24"/>
          <w:szCs w:val="24"/>
          <w:lang w:val="en-US" w:eastAsia="zh-CN"/>
        </w:rPr>
        <w:t>日常运行与维护</w:t>
      </w:r>
      <w:r>
        <w:rPr>
          <w:rFonts w:hint="eastAsia" w:asciiTheme="minorEastAsia" w:hAnsiTheme="minorEastAsia" w:eastAsiaTheme="minorEastAsia" w:cstheme="minorEastAsia"/>
          <w:kern w:val="2"/>
          <w:sz w:val="24"/>
          <w:szCs w:val="24"/>
          <w:lang w:val="en-US" w:eastAsia="zh-CN" w:bidi="ar-SA"/>
        </w:rPr>
        <w:t>、</w:t>
      </w:r>
      <w:r>
        <w:rPr>
          <w:rFonts w:hint="default" w:ascii="宋体" w:hAnsi="宋体" w:eastAsia="宋体" w:cs="宋体"/>
          <w:spacing w:val="-1"/>
          <w:sz w:val="24"/>
          <w:szCs w:val="24"/>
          <w:lang w:val="en-US" w:eastAsia="zh-CN"/>
        </w:rPr>
        <w:t>租户服务与装修管理</w:t>
      </w:r>
      <w:r>
        <w:rPr>
          <w:rFonts w:hint="eastAsia" w:asciiTheme="minorEastAsia" w:hAnsiTheme="minorEastAsia" w:eastAsiaTheme="minorEastAsia" w:cstheme="minorEastAsia"/>
          <w:kern w:val="2"/>
          <w:sz w:val="24"/>
          <w:szCs w:val="24"/>
          <w:lang w:val="en-US" w:eastAsia="zh-CN" w:bidi="ar-SA"/>
        </w:rPr>
        <w:t>、</w:t>
      </w:r>
      <w:r>
        <w:rPr>
          <w:rFonts w:hint="default" w:ascii="宋体" w:hAnsi="宋体" w:eastAsia="宋体" w:cs="宋体"/>
          <w:spacing w:val="-1"/>
          <w:sz w:val="24"/>
          <w:szCs w:val="24"/>
          <w:lang w:val="en-US" w:eastAsia="zh-CN"/>
        </w:rPr>
        <w:t>预防性保养与计划检修</w:t>
      </w:r>
      <w:r>
        <w:rPr>
          <w:rFonts w:hint="eastAsia" w:asciiTheme="minorEastAsia" w:hAnsiTheme="minorEastAsia" w:eastAsiaTheme="minorEastAsia" w:cstheme="minorEastAsia"/>
          <w:kern w:val="2"/>
          <w:sz w:val="24"/>
          <w:szCs w:val="24"/>
          <w:lang w:val="en-US" w:eastAsia="zh-CN" w:bidi="ar-SA"/>
        </w:rPr>
        <w:t>、</w:t>
      </w:r>
      <w:r>
        <w:rPr>
          <w:rFonts w:hint="default" w:ascii="宋体" w:hAnsi="宋体" w:eastAsia="宋体" w:cs="宋体"/>
          <w:spacing w:val="-1"/>
          <w:sz w:val="24"/>
          <w:szCs w:val="24"/>
          <w:lang w:val="en-US" w:eastAsia="zh-CN"/>
        </w:rPr>
        <w:t>应急抢修与安全管理</w:t>
      </w:r>
      <w:r>
        <w:rPr>
          <w:rFonts w:hint="eastAsia" w:ascii="宋体" w:hAnsi="宋体" w:eastAsia="宋体" w:cs="宋体"/>
          <w:spacing w:val="-1"/>
          <w:sz w:val="24"/>
          <w:szCs w:val="24"/>
          <w:lang w:val="en-US" w:eastAsia="zh-CN"/>
        </w:rPr>
        <w:t>等</w:t>
      </w:r>
      <w:r>
        <w:rPr>
          <w:rFonts w:hint="eastAsia" w:asciiTheme="minorEastAsia" w:hAnsiTheme="minorEastAsia" w:eastAsiaTheme="minorEastAsia" w:cstheme="minorEastAsia"/>
          <w:kern w:val="2"/>
          <w:sz w:val="24"/>
          <w:szCs w:val="24"/>
          <w:lang w:val="en-US" w:eastAsia="zh-CN" w:bidi="ar-SA"/>
        </w:rPr>
        <w:t>。</w:t>
      </w:r>
    </w:p>
    <w:p w14:paraId="01881366">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三、邀请询比采购文件编号：jfjtbglzhwx-01</w:t>
      </w:r>
    </w:p>
    <w:p w14:paraId="219E9618">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四、采购方式：询比采购</w:t>
      </w:r>
    </w:p>
    <w:p w14:paraId="73E03C58">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五、服务地点：采购人指定地点</w:t>
      </w:r>
    </w:p>
    <w:p w14:paraId="4996C3F3">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六、询比文件发售时间</w:t>
      </w:r>
    </w:p>
    <w:p w14:paraId="1F8A42F8">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color w:val="FF00FF"/>
          <w:sz w:val="24"/>
          <w:szCs w:val="24"/>
          <w:highlight w:val="none"/>
        </w:rPr>
      </w:pPr>
      <w:r>
        <w:rPr>
          <w:rFonts w:hint="eastAsia" w:asciiTheme="minorEastAsia" w:hAnsiTheme="minorEastAsia" w:eastAsiaTheme="minorEastAsia" w:cstheme="minorEastAsia"/>
          <w:sz w:val="24"/>
          <w:szCs w:val="24"/>
        </w:rPr>
        <w:t>1．时间：</w:t>
      </w:r>
      <w:r>
        <w:rPr>
          <w:rFonts w:hint="eastAsia" w:asciiTheme="minorEastAsia" w:hAnsiTheme="minorEastAsia" w:eastAsiaTheme="minorEastAsia" w:cstheme="minorEastAsia"/>
          <w:sz w:val="24"/>
          <w:szCs w:val="24"/>
          <w:highlight w:val="none"/>
        </w:rPr>
        <w:t>202</w:t>
      </w:r>
      <w:r>
        <w:rPr>
          <w:rFonts w:hint="eastAsia" w:asciiTheme="minorEastAsia" w:hAnsiTheme="minorEastAsia" w:eastAsia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lang w:val="en-US" w:eastAsia="zh-CN"/>
        </w:rPr>
        <w:t>1</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lang w:val="en-US" w:eastAsia="zh-CN"/>
        </w:rPr>
        <w:t>08</w:t>
      </w:r>
      <w:r>
        <w:rPr>
          <w:rFonts w:hint="eastAsia" w:asciiTheme="minorEastAsia" w:hAnsiTheme="minorEastAsia" w:eastAsiaTheme="minorEastAsia" w:cstheme="minorEastAsia"/>
          <w:sz w:val="24"/>
          <w:szCs w:val="24"/>
          <w:highlight w:val="none"/>
        </w:rPr>
        <w:t>日至202</w:t>
      </w:r>
      <w:r>
        <w:rPr>
          <w:rFonts w:hint="eastAsia" w:asciiTheme="minorEastAsia" w:hAnsiTheme="minorEastAsia" w:eastAsia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lang w:val="en-US" w:eastAsia="zh-CN"/>
        </w:rPr>
        <w:t>1</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lang w:val="en-US" w:eastAsia="zh-CN"/>
        </w:rPr>
        <w:t>12</w:t>
      </w:r>
      <w:r>
        <w:rPr>
          <w:rFonts w:hint="eastAsia" w:asciiTheme="minorEastAsia" w:hAnsiTheme="minorEastAsia" w:eastAsiaTheme="minorEastAsia" w:cstheme="minorEastAsia"/>
          <w:sz w:val="24"/>
          <w:szCs w:val="24"/>
          <w:highlight w:val="none"/>
        </w:rPr>
        <w:t>日（周六、周日除外）北京时间9：30-11：30，14：00-16：30。</w:t>
      </w:r>
    </w:p>
    <w:p w14:paraId="5E75A013">
      <w:pPr>
        <w:keepNext w:val="0"/>
        <w:keepLines w:val="0"/>
        <w:pageBreakBefore w:val="0"/>
        <w:kinsoku/>
        <w:wordWrap/>
        <w:overflowPunct/>
        <w:topLinePunct w:val="0"/>
        <w:bidi w:val="0"/>
        <w:spacing w:line="560" w:lineRule="exact"/>
        <w:ind w:firstLine="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2.供应商资格要求：</w:t>
      </w:r>
    </w:p>
    <w:p w14:paraId="0BA8505A">
      <w:pPr>
        <w:pStyle w:val="5"/>
        <w:keepNext w:val="0"/>
        <w:keepLines w:val="0"/>
        <w:pageBreakBefore w:val="0"/>
        <w:kinsoku/>
        <w:wordWrap/>
        <w:overflowPunct/>
        <w:topLinePunct w:val="0"/>
        <w:bidi w:val="0"/>
        <w:snapToGrid w:val="0"/>
        <w:spacing w:line="560" w:lineRule="exact"/>
        <w:ind w:left="0" w:leftChars="0" w:firstLine="240" w:firstLineChars="1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供应商必须符合《中华人民共和国政府采购法》第二十二条的规定；（2）具有专业技术人员、设备、技术等方面相应的服务能力，具有良好的商业信誉；（3）有效的企业营业执照副本、税务登记证副本、组织机构代码证副本（三证合一或五证合一的企业只需提供具有统一社会信用代码独立法人的营业执照副本）；（4）银行开户许可证（或取消开户许可证的须提供基本存款账户银行备案资料）；（5）供应商参加本次政府采购活动前3年内无重大违法记录和政府采购严重违法失信行为的书面声明；（6）投标人在“信用中国”（www.creditchina.gov.cn）系统中未被列入失信被执行人名单、重大税收违法案件当事人名单及政府采购严重违法失信名单；投标人在“中国政府采购网（www.ccgp.gov.cn）系统中未被列入政府采购严重违法失信行为记录名单（由采购人或者采购招标人将对投标人信用记录进行现场查询和甄别；（7）单位负责人为同一人或者存在直接控股、管理关系的不同投标人，不得参加同一合同项下的政府采购活动；（8）本项目不接受联合体投标。</w:t>
      </w:r>
    </w:p>
    <w:p w14:paraId="77C2EE53">
      <w:pPr>
        <w:keepNext w:val="0"/>
        <w:keepLines w:val="0"/>
        <w:pageBreakBefore w:val="0"/>
        <w:kinsoku/>
        <w:wordWrap/>
        <w:overflowPunct/>
        <w:topLinePunct w:val="0"/>
        <w:bidi w:val="0"/>
        <w:spacing w:line="560" w:lineRule="exact"/>
        <w:ind w:firstLine="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3.供应商报名要求：</w:t>
      </w:r>
    </w:p>
    <w:p w14:paraId="4B803A7E">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应持有效合格的营业执照，税务登记证,组织机构代码证（三证合一或五证合一的企业只需提供具有统一社会信用代码独立法人的营业执照副本）；银行开户许可证；法定代表人报名须提供法定代表人身份证明书及本人身份证；非法定代表人报名须提供法定代表人身份证明书、授权委托书、本人身份证。</w:t>
      </w:r>
    </w:p>
    <w:p w14:paraId="453B8B66">
      <w:pPr>
        <w:keepNext w:val="0"/>
        <w:keepLines w:val="0"/>
        <w:pageBreakBefore w:val="0"/>
        <w:widowControl/>
        <w:kinsoku/>
        <w:wordWrap/>
        <w:overflowPunct/>
        <w:topLinePunct w:val="0"/>
        <w:bidi w:val="0"/>
        <w:spacing w:line="560" w:lineRule="exact"/>
        <w:ind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sz w:val="24"/>
          <w:szCs w:val="24"/>
        </w:rPr>
        <w:t>注：1、以上资料需携带原件和加盖公章的A4纸复印件2套，到张家口</w:t>
      </w:r>
      <w:r>
        <w:rPr>
          <w:rFonts w:hint="eastAsia" w:asciiTheme="minorEastAsia" w:hAnsiTheme="minorEastAsia" w:eastAsiaTheme="minorEastAsia" w:cstheme="minorEastAsia"/>
          <w:b/>
          <w:sz w:val="24"/>
          <w:szCs w:val="24"/>
          <w:lang w:val="en-US" w:eastAsia="zh-CN"/>
        </w:rPr>
        <w:t>霖辉物业管理集团</w:t>
      </w:r>
      <w:r>
        <w:rPr>
          <w:rFonts w:hint="eastAsia" w:asciiTheme="minorEastAsia" w:hAnsiTheme="minorEastAsia" w:eastAsiaTheme="minorEastAsia" w:cstheme="minorEastAsia"/>
          <w:b/>
          <w:sz w:val="24"/>
          <w:szCs w:val="24"/>
        </w:rPr>
        <w:t>有限公司报名登记并获取询比采购文件；公司提供电子版文件；供应商提供的报名资料复印件必须真实、清晰且与携带原件一致并加盖单位公章，若因报名材料复印件的清晰度、真实性及与原件的一致性等问题导致报名不通过的由投标报名单位自行负责；</w:t>
      </w:r>
      <w:r>
        <w:rPr>
          <w:rFonts w:hint="eastAsia" w:asciiTheme="minorEastAsia" w:hAnsiTheme="minorEastAsia" w:eastAsiaTheme="minorEastAsia" w:cstheme="minorEastAsia"/>
          <w:b/>
          <w:bCs/>
          <w:sz w:val="24"/>
          <w:szCs w:val="24"/>
        </w:rPr>
        <w:t>本项目不接受联合体投标。</w:t>
      </w:r>
    </w:p>
    <w:p w14:paraId="5A8C4C80">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4.投标报名地点：张家口</w:t>
      </w:r>
      <w:r>
        <w:rPr>
          <w:rFonts w:hint="eastAsia" w:asciiTheme="minorEastAsia" w:hAnsiTheme="minorEastAsia" w:eastAsiaTheme="minorEastAsia" w:cstheme="minorEastAsia"/>
          <w:sz w:val="24"/>
          <w:szCs w:val="24"/>
          <w:lang w:val="en-US" w:eastAsia="zh-CN"/>
        </w:rPr>
        <w:t>霖辉物业</w:t>
      </w:r>
      <w:r>
        <w:rPr>
          <w:rFonts w:hint="eastAsia" w:asciiTheme="minorEastAsia" w:hAnsiTheme="minorEastAsia" w:eastAsiaTheme="minorEastAsia" w:cstheme="minorEastAsia"/>
          <w:sz w:val="24"/>
          <w:szCs w:val="24"/>
        </w:rPr>
        <w:t>管理</w:t>
      </w:r>
      <w:r>
        <w:rPr>
          <w:rFonts w:hint="eastAsia" w:asciiTheme="minorEastAsia" w:hAnsiTheme="minorEastAsia" w:eastAsiaTheme="minorEastAsia" w:cstheme="minorEastAsia"/>
          <w:sz w:val="24"/>
          <w:szCs w:val="24"/>
          <w:lang w:val="en-US" w:eastAsia="zh-CN"/>
        </w:rPr>
        <w:t>集团</w:t>
      </w:r>
      <w:r>
        <w:rPr>
          <w:rFonts w:hint="eastAsia" w:asciiTheme="minorEastAsia" w:hAnsiTheme="minorEastAsia" w:eastAsiaTheme="minorEastAsia" w:cstheme="minorEastAsia"/>
          <w:sz w:val="24"/>
          <w:szCs w:val="24"/>
        </w:rPr>
        <w:t>有限公司（张家口市</w:t>
      </w:r>
      <w:r>
        <w:rPr>
          <w:rFonts w:hint="eastAsia" w:asciiTheme="minorEastAsia" w:hAnsiTheme="minorEastAsia" w:eastAsiaTheme="minorEastAsia" w:cstheme="minorEastAsia"/>
          <w:sz w:val="24"/>
          <w:szCs w:val="24"/>
          <w:lang w:val="en-US" w:eastAsia="zh-CN"/>
        </w:rPr>
        <w:t>桥西</w:t>
      </w:r>
      <w:r>
        <w:rPr>
          <w:rFonts w:hint="eastAsia" w:asciiTheme="minorEastAsia" w:hAnsiTheme="minorEastAsia" w:eastAsiaTheme="minorEastAsia" w:cstheme="minorEastAsia"/>
          <w:sz w:val="24"/>
          <w:szCs w:val="24"/>
        </w:rPr>
        <w:t>区</w:t>
      </w:r>
      <w:r>
        <w:rPr>
          <w:rFonts w:hint="eastAsia" w:asciiTheme="minorEastAsia" w:hAnsiTheme="minorEastAsia" w:eastAsiaTheme="minorEastAsia" w:cstheme="minorEastAsia"/>
          <w:sz w:val="24"/>
          <w:szCs w:val="24"/>
          <w:lang w:val="en-US" w:eastAsia="zh-CN"/>
        </w:rPr>
        <w:t>西苑中路天秀小区44、45号底商</w:t>
      </w:r>
      <w:r>
        <w:rPr>
          <w:rFonts w:hint="eastAsia" w:asciiTheme="minorEastAsia" w:hAnsiTheme="minorEastAsia" w:eastAsiaTheme="minorEastAsia" w:cstheme="minorEastAsia"/>
          <w:sz w:val="24"/>
          <w:szCs w:val="24"/>
        </w:rPr>
        <w:t>）</w:t>
      </w:r>
    </w:p>
    <w:p w14:paraId="636425BA">
      <w:pPr>
        <w:keepNext w:val="0"/>
        <w:keepLines w:val="0"/>
        <w:pageBreakBefore w:val="0"/>
        <w:numPr>
          <w:ilvl w:val="0"/>
          <w:numId w:val="0"/>
        </w:numPr>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highlight w:val="red"/>
        </w:rPr>
      </w:pPr>
      <w:r>
        <w:rPr>
          <w:rFonts w:hint="eastAsia" w:asciiTheme="minorEastAsia" w:hAnsiTheme="minorEastAsia" w:eastAsiaTheme="minorEastAsia" w:cstheme="minorEastAsia"/>
          <w:kern w:val="2"/>
          <w:sz w:val="24"/>
          <w:szCs w:val="24"/>
          <w:lang w:val="en-US" w:eastAsia="zh-CN" w:bidi="ar-SA"/>
        </w:rPr>
        <w:t>八、</w:t>
      </w:r>
      <w:r>
        <w:rPr>
          <w:rFonts w:hint="eastAsia" w:asciiTheme="minorEastAsia" w:hAnsiTheme="minorEastAsia" w:eastAsiaTheme="minorEastAsia" w:cstheme="minorEastAsia"/>
          <w:sz w:val="24"/>
          <w:szCs w:val="24"/>
        </w:rPr>
        <w:t>项目采购预算：</w:t>
      </w:r>
      <w:r>
        <w:rPr>
          <w:rFonts w:hint="eastAsia" w:asciiTheme="minorEastAsia" w:hAnsiTheme="minorEastAsia" w:eastAsiaTheme="minorEastAsia" w:cstheme="minorEastAsia"/>
          <w:b/>
          <w:sz w:val="24"/>
          <w:szCs w:val="24"/>
          <w:highlight w:val="none"/>
        </w:rPr>
        <w:t>人民币</w:t>
      </w:r>
      <w:r>
        <w:rPr>
          <w:rFonts w:hint="eastAsia" w:asciiTheme="minorEastAsia" w:hAnsiTheme="minorEastAsia" w:eastAsiaTheme="minorEastAsia" w:cstheme="minorEastAsia"/>
          <w:b/>
          <w:sz w:val="24"/>
          <w:szCs w:val="24"/>
          <w:highlight w:val="none"/>
          <w:lang w:val="en-US" w:eastAsia="zh-CN"/>
        </w:rPr>
        <w:t>523781</w:t>
      </w:r>
      <w:r>
        <w:rPr>
          <w:rFonts w:hint="eastAsia" w:asciiTheme="minorEastAsia" w:hAnsiTheme="minorEastAsia" w:eastAsiaTheme="minorEastAsia" w:cstheme="minorEastAsia"/>
          <w:b/>
          <w:sz w:val="24"/>
          <w:szCs w:val="24"/>
          <w:highlight w:val="none"/>
        </w:rPr>
        <w:t>元</w:t>
      </w:r>
    </w:p>
    <w:p w14:paraId="2C273F51">
      <w:pPr>
        <w:keepNext w:val="0"/>
        <w:keepLines w:val="0"/>
        <w:pageBreakBefore w:val="0"/>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九、资格审查方式：资格后审</w:t>
      </w:r>
    </w:p>
    <w:p w14:paraId="23D4BCB2">
      <w:pPr>
        <w:keepNext w:val="0"/>
        <w:keepLines w:val="0"/>
        <w:pageBreakBefore w:val="0"/>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十、报价方式：总报价</w:t>
      </w:r>
    </w:p>
    <w:p w14:paraId="37355BA1">
      <w:pPr>
        <w:keepNext w:val="0"/>
        <w:keepLines w:val="0"/>
        <w:pageBreakBefore w:val="0"/>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rPr>
        <w:t>十</w:t>
      </w:r>
      <w:r>
        <w:rPr>
          <w:rFonts w:hint="eastAsia" w:asciiTheme="minorEastAsia" w:hAnsiTheme="minorEastAsia" w:eastAsiaTheme="minorEastAsia" w:cstheme="minorEastAsia"/>
          <w:b/>
          <w:sz w:val="24"/>
          <w:szCs w:val="24"/>
        </w:rPr>
        <w:t>一</w:t>
      </w:r>
      <w:r>
        <w:rPr>
          <w:rFonts w:hint="eastAsia" w:asciiTheme="minorEastAsia" w:hAnsiTheme="minorEastAsia" w:eastAsiaTheme="minorEastAsia" w:cstheme="minorEastAsia"/>
          <w:sz w:val="24"/>
          <w:szCs w:val="24"/>
        </w:rPr>
        <w:t>、询比采购投标文件递交截止暨开标时间：</w:t>
      </w:r>
      <w:r>
        <w:rPr>
          <w:rFonts w:hint="eastAsia" w:asciiTheme="minorEastAsia" w:hAnsiTheme="minorEastAsia" w:eastAsiaTheme="minorEastAsia" w:cstheme="minorEastAsia"/>
          <w:b/>
          <w:sz w:val="24"/>
          <w:szCs w:val="24"/>
          <w:highlight w:val="none"/>
        </w:rPr>
        <w:t>202</w:t>
      </w:r>
      <w:r>
        <w:rPr>
          <w:rFonts w:hint="eastAsia" w:asciiTheme="minorEastAsia" w:hAnsiTheme="minorEastAsia" w:eastAsiaTheme="minorEastAsia" w:cstheme="minorEastAsia"/>
          <w:b/>
          <w:sz w:val="24"/>
          <w:szCs w:val="24"/>
          <w:highlight w:val="none"/>
          <w:lang w:val="en-US" w:eastAsia="zh-CN"/>
        </w:rPr>
        <w:t>6</w:t>
      </w:r>
      <w:r>
        <w:rPr>
          <w:rFonts w:hint="eastAsia" w:asciiTheme="minorEastAsia" w:hAnsiTheme="minorEastAsia" w:eastAsiaTheme="minorEastAsia" w:cstheme="minorEastAsia"/>
          <w:b/>
          <w:sz w:val="24"/>
          <w:szCs w:val="24"/>
          <w:highlight w:val="none"/>
        </w:rPr>
        <w:t>年</w:t>
      </w:r>
      <w:r>
        <w:rPr>
          <w:rFonts w:hint="eastAsia" w:asciiTheme="minorEastAsia" w:hAnsiTheme="minorEastAsia" w:eastAsiaTheme="minorEastAsia" w:cstheme="minorEastAsia"/>
          <w:b/>
          <w:sz w:val="24"/>
          <w:szCs w:val="24"/>
          <w:highlight w:val="none"/>
          <w:lang w:val="en-US" w:eastAsia="zh-CN"/>
        </w:rPr>
        <w:t>3</w:t>
      </w:r>
      <w:r>
        <w:rPr>
          <w:rFonts w:hint="eastAsia" w:asciiTheme="minorEastAsia" w:hAnsiTheme="minorEastAsia" w:eastAsiaTheme="minorEastAsia" w:cstheme="minorEastAsia"/>
          <w:b/>
          <w:sz w:val="24"/>
          <w:szCs w:val="24"/>
          <w:highlight w:val="none"/>
        </w:rPr>
        <w:t>月</w:t>
      </w:r>
      <w:r>
        <w:rPr>
          <w:rFonts w:hint="eastAsia" w:asciiTheme="minorEastAsia" w:hAnsiTheme="minorEastAsia" w:eastAsiaTheme="minorEastAsia" w:cstheme="minorEastAsia"/>
          <w:b/>
          <w:sz w:val="24"/>
          <w:szCs w:val="24"/>
          <w:highlight w:val="none"/>
          <w:lang w:val="en-US" w:eastAsia="zh-CN"/>
        </w:rPr>
        <w:t>02</w:t>
      </w:r>
      <w:r>
        <w:rPr>
          <w:rFonts w:hint="eastAsia" w:asciiTheme="minorEastAsia" w:hAnsiTheme="minorEastAsia" w:eastAsiaTheme="minorEastAsia" w:cstheme="minorEastAsia"/>
          <w:b/>
          <w:sz w:val="24"/>
          <w:szCs w:val="24"/>
          <w:highlight w:val="none"/>
        </w:rPr>
        <w:t>日北京时间</w:t>
      </w:r>
      <w:r>
        <w:rPr>
          <w:rFonts w:hint="eastAsia" w:asciiTheme="minorEastAsia" w:hAnsiTheme="minorEastAsia" w:eastAsiaTheme="minorEastAsia" w:cstheme="minorEastAsia"/>
          <w:b/>
          <w:sz w:val="24"/>
          <w:szCs w:val="24"/>
          <w:highlight w:val="none"/>
          <w:lang w:val="en-US" w:eastAsia="zh-CN"/>
        </w:rPr>
        <w:t>15：00</w:t>
      </w:r>
    </w:p>
    <w:p w14:paraId="3DE60538">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十二、开标地点：张家口</w:t>
      </w:r>
      <w:r>
        <w:rPr>
          <w:rFonts w:hint="eastAsia" w:asciiTheme="minorEastAsia" w:hAnsiTheme="minorEastAsia" w:eastAsiaTheme="minorEastAsia" w:cstheme="minorEastAsia"/>
          <w:sz w:val="24"/>
          <w:szCs w:val="24"/>
          <w:lang w:val="en-US" w:eastAsia="zh-CN"/>
        </w:rPr>
        <w:t>霖辉物业</w:t>
      </w:r>
      <w:r>
        <w:rPr>
          <w:rFonts w:hint="eastAsia" w:asciiTheme="minorEastAsia" w:hAnsiTheme="minorEastAsia" w:eastAsiaTheme="minorEastAsia" w:cstheme="minorEastAsia"/>
          <w:sz w:val="24"/>
          <w:szCs w:val="24"/>
        </w:rPr>
        <w:t>管理</w:t>
      </w:r>
      <w:r>
        <w:rPr>
          <w:rFonts w:hint="eastAsia" w:asciiTheme="minorEastAsia" w:hAnsiTheme="minorEastAsia" w:eastAsiaTheme="minorEastAsia" w:cstheme="minorEastAsia"/>
          <w:sz w:val="24"/>
          <w:szCs w:val="24"/>
          <w:lang w:val="en-US" w:eastAsia="zh-CN"/>
        </w:rPr>
        <w:t>集团</w:t>
      </w:r>
      <w:r>
        <w:rPr>
          <w:rFonts w:hint="eastAsia" w:asciiTheme="minorEastAsia" w:hAnsiTheme="minorEastAsia" w:eastAsiaTheme="minorEastAsia" w:cstheme="minorEastAsia"/>
          <w:sz w:val="24"/>
          <w:szCs w:val="24"/>
        </w:rPr>
        <w:t>有限公司（张家口市</w:t>
      </w:r>
      <w:r>
        <w:rPr>
          <w:rFonts w:hint="eastAsia" w:asciiTheme="minorEastAsia" w:hAnsiTheme="minorEastAsia" w:eastAsiaTheme="minorEastAsia" w:cstheme="minorEastAsia"/>
          <w:sz w:val="24"/>
          <w:szCs w:val="24"/>
          <w:lang w:val="en-US" w:eastAsia="zh-CN"/>
        </w:rPr>
        <w:t>桥西</w:t>
      </w:r>
      <w:r>
        <w:rPr>
          <w:rFonts w:hint="eastAsia" w:asciiTheme="minorEastAsia" w:hAnsiTheme="minorEastAsia" w:eastAsiaTheme="minorEastAsia" w:cstheme="minorEastAsia"/>
          <w:sz w:val="24"/>
          <w:szCs w:val="24"/>
        </w:rPr>
        <w:t>区</w:t>
      </w:r>
      <w:r>
        <w:rPr>
          <w:rFonts w:hint="eastAsia" w:asciiTheme="minorEastAsia" w:hAnsiTheme="minorEastAsia" w:eastAsiaTheme="minorEastAsia" w:cstheme="minorEastAsia"/>
          <w:sz w:val="24"/>
          <w:szCs w:val="24"/>
          <w:lang w:val="en-US" w:eastAsia="zh-CN"/>
        </w:rPr>
        <w:t>西苑中路天秀小区44、45号底商</w:t>
      </w:r>
      <w:r>
        <w:rPr>
          <w:rFonts w:hint="eastAsia" w:asciiTheme="minorEastAsia" w:hAnsiTheme="minorEastAsia" w:eastAsiaTheme="minorEastAsia" w:cstheme="minorEastAsia"/>
          <w:sz w:val="24"/>
          <w:szCs w:val="24"/>
        </w:rPr>
        <w:t>）</w:t>
      </w:r>
    </w:p>
    <w:p w14:paraId="0660017D">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十三、评标地点：张家口</w:t>
      </w:r>
      <w:r>
        <w:rPr>
          <w:rFonts w:hint="eastAsia" w:asciiTheme="minorEastAsia" w:hAnsiTheme="minorEastAsia" w:eastAsiaTheme="minorEastAsia" w:cstheme="minorEastAsia"/>
          <w:sz w:val="24"/>
          <w:szCs w:val="24"/>
          <w:lang w:val="en-US" w:eastAsia="zh-CN"/>
        </w:rPr>
        <w:t>霖辉物业</w:t>
      </w:r>
      <w:r>
        <w:rPr>
          <w:rFonts w:hint="eastAsia" w:asciiTheme="minorEastAsia" w:hAnsiTheme="minorEastAsia" w:eastAsiaTheme="minorEastAsia" w:cstheme="minorEastAsia"/>
          <w:sz w:val="24"/>
          <w:szCs w:val="24"/>
        </w:rPr>
        <w:t>管理</w:t>
      </w:r>
      <w:r>
        <w:rPr>
          <w:rFonts w:hint="eastAsia" w:asciiTheme="minorEastAsia" w:hAnsiTheme="minorEastAsia" w:eastAsiaTheme="minorEastAsia" w:cstheme="minorEastAsia"/>
          <w:sz w:val="24"/>
          <w:szCs w:val="24"/>
          <w:lang w:val="en-US" w:eastAsia="zh-CN"/>
        </w:rPr>
        <w:t>集团</w:t>
      </w:r>
      <w:r>
        <w:rPr>
          <w:rFonts w:hint="eastAsia" w:asciiTheme="minorEastAsia" w:hAnsiTheme="minorEastAsia" w:eastAsiaTheme="minorEastAsia" w:cstheme="minorEastAsia"/>
          <w:sz w:val="24"/>
          <w:szCs w:val="24"/>
        </w:rPr>
        <w:t>有限公司（张家口市</w:t>
      </w:r>
      <w:r>
        <w:rPr>
          <w:rFonts w:hint="eastAsia" w:asciiTheme="minorEastAsia" w:hAnsiTheme="minorEastAsia" w:eastAsiaTheme="minorEastAsia" w:cstheme="minorEastAsia"/>
          <w:sz w:val="24"/>
          <w:szCs w:val="24"/>
          <w:lang w:val="en-US" w:eastAsia="zh-CN"/>
        </w:rPr>
        <w:t>桥西</w:t>
      </w:r>
      <w:r>
        <w:rPr>
          <w:rFonts w:hint="eastAsia" w:asciiTheme="minorEastAsia" w:hAnsiTheme="minorEastAsia" w:eastAsiaTheme="minorEastAsia" w:cstheme="minorEastAsia"/>
          <w:sz w:val="24"/>
          <w:szCs w:val="24"/>
        </w:rPr>
        <w:t>区</w:t>
      </w:r>
      <w:r>
        <w:rPr>
          <w:rFonts w:hint="eastAsia" w:asciiTheme="minorEastAsia" w:hAnsiTheme="minorEastAsia" w:eastAsiaTheme="minorEastAsia" w:cstheme="minorEastAsia"/>
          <w:sz w:val="24"/>
          <w:szCs w:val="24"/>
          <w:lang w:val="en-US" w:eastAsia="zh-CN"/>
        </w:rPr>
        <w:t>西苑中路天秀小区44、45号底商</w:t>
      </w:r>
      <w:r>
        <w:rPr>
          <w:rFonts w:hint="eastAsia" w:asciiTheme="minorEastAsia" w:hAnsiTheme="minorEastAsia" w:eastAsiaTheme="minorEastAsia" w:cstheme="minorEastAsia"/>
          <w:sz w:val="24"/>
          <w:szCs w:val="24"/>
        </w:rPr>
        <w:t>）</w:t>
      </w:r>
    </w:p>
    <w:p w14:paraId="53861F64">
      <w:pPr>
        <w:keepNext w:val="0"/>
        <w:keepLines w:val="0"/>
        <w:pageBreakBefore w:val="0"/>
        <w:kinsoku/>
        <w:wordWrap/>
        <w:overflowPunct/>
        <w:topLinePunct w:val="0"/>
        <w:bidi w:val="0"/>
        <w:spacing w:line="560" w:lineRule="exact"/>
        <w:ind w:firstLine="472"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逾期收到或未按邀请询比采购文件要求予以标记和密封的询比采购投标文件恕不接受。</w:t>
      </w:r>
    </w:p>
    <w:p w14:paraId="0DEFA9F2">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采购人：张家口</w:t>
      </w:r>
      <w:r>
        <w:rPr>
          <w:rFonts w:hint="eastAsia" w:asciiTheme="minorEastAsia" w:hAnsiTheme="minorEastAsia" w:eastAsiaTheme="minorEastAsia" w:cstheme="minorEastAsia"/>
          <w:sz w:val="24"/>
          <w:szCs w:val="24"/>
          <w:lang w:val="en-US" w:eastAsia="zh-CN"/>
        </w:rPr>
        <w:t>霖辉物业</w:t>
      </w:r>
      <w:r>
        <w:rPr>
          <w:rFonts w:hint="eastAsia" w:asciiTheme="minorEastAsia" w:hAnsiTheme="minorEastAsia" w:eastAsiaTheme="minorEastAsia" w:cstheme="minorEastAsia"/>
          <w:sz w:val="24"/>
          <w:szCs w:val="24"/>
        </w:rPr>
        <w:t>管理</w:t>
      </w:r>
      <w:r>
        <w:rPr>
          <w:rFonts w:hint="eastAsia" w:asciiTheme="minorEastAsia" w:hAnsiTheme="minorEastAsia" w:eastAsiaTheme="minorEastAsia" w:cstheme="minorEastAsia"/>
          <w:sz w:val="24"/>
          <w:szCs w:val="24"/>
          <w:lang w:val="en-US" w:eastAsia="zh-CN"/>
        </w:rPr>
        <w:t>集团</w:t>
      </w:r>
      <w:r>
        <w:rPr>
          <w:rFonts w:hint="eastAsia" w:asciiTheme="minorEastAsia" w:hAnsiTheme="minorEastAsia" w:eastAsiaTheme="minorEastAsia" w:cstheme="minorEastAsia"/>
          <w:sz w:val="24"/>
          <w:szCs w:val="24"/>
        </w:rPr>
        <w:t>有限公司</w:t>
      </w:r>
    </w:p>
    <w:p w14:paraId="2438C402">
      <w:pPr>
        <w:keepNext w:val="0"/>
        <w:keepLines w:val="0"/>
        <w:pageBreakBefore w:val="0"/>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地址：张家口市</w:t>
      </w:r>
      <w:r>
        <w:rPr>
          <w:rFonts w:hint="eastAsia" w:asciiTheme="minorEastAsia" w:hAnsiTheme="minorEastAsia" w:eastAsiaTheme="minorEastAsia" w:cstheme="minorEastAsia"/>
          <w:sz w:val="24"/>
          <w:szCs w:val="24"/>
          <w:lang w:val="en-US" w:eastAsia="zh-CN"/>
        </w:rPr>
        <w:t>桥西</w:t>
      </w:r>
      <w:r>
        <w:rPr>
          <w:rFonts w:hint="eastAsia" w:asciiTheme="minorEastAsia" w:hAnsiTheme="minorEastAsia" w:eastAsiaTheme="minorEastAsia" w:cstheme="minorEastAsia"/>
          <w:sz w:val="24"/>
          <w:szCs w:val="24"/>
        </w:rPr>
        <w:t>区</w:t>
      </w:r>
      <w:r>
        <w:rPr>
          <w:rFonts w:hint="eastAsia" w:asciiTheme="minorEastAsia" w:hAnsiTheme="minorEastAsia" w:eastAsiaTheme="minorEastAsia" w:cstheme="minorEastAsia"/>
          <w:sz w:val="24"/>
          <w:szCs w:val="24"/>
          <w:lang w:val="en-US" w:eastAsia="zh-CN"/>
        </w:rPr>
        <w:t>西苑中路天秀小区44、45号底商</w:t>
      </w:r>
    </w:p>
    <w:p w14:paraId="30EFFE5A">
      <w:pPr>
        <w:keepNext w:val="0"/>
        <w:keepLines w:val="0"/>
        <w:pageBreakBefore w:val="0"/>
        <w:widowControl/>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电话：</w:t>
      </w:r>
      <w:r>
        <w:rPr>
          <w:rFonts w:hint="eastAsia" w:asciiTheme="minorEastAsia" w:hAnsiTheme="minorEastAsia" w:eastAsiaTheme="minorEastAsia" w:cstheme="minorEastAsia"/>
          <w:sz w:val="24"/>
          <w:szCs w:val="24"/>
          <w:lang w:val="en-US" w:eastAsia="zh-CN"/>
        </w:rPr>
        <w:t>0313-</w:t>
      </w:r>
      <w:r>
        <w:rPr>
          <w:rFonts w:hint="eastAsia" w:asciiTheme="minorEastAsia" w:hAnsiTheme="minorEastAsia" w:eastAsiaTheme="minorEastAsia" w:cstheme="minorEastAsia"/>
          <w:sz w:val="24"/>
          <w:szCs w:val="24"/>
        </w:rPr>
        <w:t>58</w:t>
      </w:r>
      <w:r>
        <w:rPr>
          <w:rFonts w:hint="eastAsia" w:asciiTheme="minorEastAsia" w:hAnsiTheme="minorEastAsia" w:eastAsiaTheme="minorEastAsia" w:cstheme="minorEastAsia"/>
          <w:sz w:val="24"/>
          <w:szCs w:val="24"/>
          <w:lang w:val="en-US" w:eastAsia="zh-CN"/>
        </w:rPr>
        <w:t>87863</w:t>
      </w:r>
    </w:p>
    <w:p w14:paraId="51EA2D42">
      <w:pPr>
        <w:keepNext w:val="0"/>
        <w:keepLines w:val="0"/>
        <w:pageBreakBefore w:val="0"/>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联系人：</w:t>
      </w:r>
      <w:r>
        <w:rPr>
          <w:rFonts w:hint="eastAsia" w:asciiTheme="minorEastAsia" w:hAnsiTheme="minorEastAsia" w:eastAsiaTheme="minorEastAsia" w:cstheme="minorEastAsia"/>
          <w:sz w:val="24"/>
          <w:szCs w:val="24"/>
          <w:lang w:val="en-US" w:eastAsia="zh-CN"/>
        </w:rPr>
        <w:t>李晓杰</w:t>
      </w:r>
    </w:p>
    <w:p w14:paraId="05987071">
      <w:pPr>
        <w:keepNext w:val="0"/>
        <w:keepLines w:val="0"/>
        <w:pageBreakBefore w:val="0"/>
        <w:kinsoku/>
        <w:wordWrap/>
        <w:overflowPunct/>
        <w:topLinePunct w:val="0"/>
        <w:bidi w:val="0"/>
        <w:spacing w:line="560" w:lineRule="exac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br w:type="page"/>
      </w:r>
    </w:p>
    <w:p w14:paraId="1215E319">
      <w:pPr>
        <w:pStyle w:val="2"/>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b w:val="0"/>
          <w:bCs w:val="0"/>
          <w:color w:val="000000"/>
          <w:sz w:val="36"/>
          <w:szCs w:val="36"/>
        </w:rPr>
        <w:t>第二部分</w:t>
      </w:r>
      <w:r>
        <w:rPr>
          <w:rFonts w:hint="eastAsia" w:asciiTheme="minorEastAsia" w:hAnsiTheme="minorEastAsia" w:eastAsiaTheme="minorEastAsia" w:cstheme="minorEastAsia"/>
          <w:b w:val="0"/>
          <w:bCs w:val="0"/>
          <w:color w:val="000000"/>
          <w:sz w:val="36"/>
          <w:szCs w:val="36"/>
          <w:lang w:val="en-US" w:eastAsia="zh-CN"/>
        </w:rPr>
        <w:t xml:space="preserve">  </w:t>
      </w:r>
      <w:r>
        <w:rPr>
          <w:rFonts w:hint="eastAsia" w:asciiTheme="minorEastAsia" w:hAnsiTheme="minorEastAsia" w:eastAsiaTheme="minorEastAsia" w:cstheme="minorEastAsia"/>
          <w:b w:val="0"/>
          <w:bCs w:val="0"/>
          <w:color w:val="000000"/>
          <w:sz w:val="36"/>
          <w:szCs w:val="36"/>
        </w:rPr>
        <w:t>招标项目内容及要求</w:t>
      </w:r>
    </w:p>
    <w:p w14:paraId="10068FCE">
      <w:pPr>
        <w:pStyle w:val="22"/>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一、服务内容</w:t>
      </w:r>
    </w:p>
    <w:p w14:paraId="4094E421">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1.</w:t>
      </w:r>
      <w:r>
        <w:rPr>
          <w:rFonts w:hint="default" w:ascii="宋体" w:hAnsi="宋体" w:eastAsia="宋体" w:cs="宋体"/>
          <w:spacing w:val="-1"/>
          <w:sz w:val="24"/>
          <w:szCs w:val="24"/>
          <w:lang w:val="en-US" w:eastAsia="zh-CN"/>
        </w:rPr>
        <w:t>日常运行与维护</w:t>
      </w:r>
    </w:p>
    <w:p w14:paraId="62BE7042">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default" w:ascii="宋体" w:hAnsi="宋体" w:eastAsia="宋体" w:cs="宋体"/>
          <w:spacing w:val="-1"/>
          <w:sz w:val="24"/>
          <w:szCs w:val="24"/>
          <w:lang w:val="en-US" w:eastAsia="zh-CN"/>
        </w:rPr>
        <w:t>供配电系统</w:t>
      </w:r>
      <w:r>
        <w:rPr>
          <w:rFonts w:hint="eastAsia" w:ascii="宋体" w:hAnsi="宋体" w:eastAsia="宋体" w:cs="宋体"/>
          <w:spacing w:val="-1"/>
          <w:sz w:val="24"/>
          <w:szCs w:val="24"/>
          <w:lang w:val="en-US" w:eastAsia="zh-CN"/>
        </w:rPr>
        <w:t>方面：</w:t>
      </w:r>
      <w:r>
        <w:rPr>
          <w:rFonts w:ascii="宋体" w:hAnsi="宋体" w:eastAsia="宋体" w:cs="宋体"/>
          <w:sz w:val="24"/>
          <w:szCs w:val="24"/>
        </w:rPr>
        <w:t>负责建发集团办公楼供配电系统的日常运行与管护工作。每日对高低压配电柜、变压器、楼层配电箱、线路及应急供电设备开展全面巡检，核对电压、电流、仪表、指示灯等运行状态，及时排查设备发热、线路松动、异响、漏电等安全隐患。定期对配电设施进行除尘、螺丝紧固、绝缘检测等养护作业，依规完成设备操作与负荷调控。详实记录运行数据、巡检情况及故障信息，发现问题立即处置并上报。定期对应急供电设备试机演练，保障断电时快速切换，全力保障办公楼供电安全、稳定、不间断运行。</w:t>
      </w:r>
    </w:p>
    <w:p w14:paraId="644CA1BF">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default" w:ascii="宋体" w:hAnsi="宋体" w:eastAsia="宋体" w:cs="宋体"/>
          <w:spacing w:val="-1"/>
          <w:sz w:val="24"/>
          <w:szCs w:val="24"/>
          <w:lang w:val="en-US" w:eastAsia="zh-CN"/>
        </w:rPr>
        <w:t>暖气系统</w:t>
      </w:r>
      <w:r>
        <w:rPr>
          <w:rFonts w:hint="eastAsia" w:ascii="宋体" w:hAnsi="宋体" w:eastAsia="宋体" w:cs="宋体"/>
          <w:spacing w:val="-1"/>
          <w:sz w:val="24"/>
          <w:szCs w:val="24"/>
          <w:lang w:val="en-US" w:eastAsia="zh-CN"/>
        </w:rPr>
        <w:t>方面：</w:t>
      </w:r>
      <w:r>
        <w:rPr>
          <w:rFonts w:ascii="宋体" w:hAnsi="宋体" w:eastAsia="宋体" w:cs="宋体"/>
          <w:sz w:val="24"/>
          <w:szCs w:val="24"/>
        </w:rPr>
        <w:t>负责建发集团办公楼供暖系统日常运维工作。每日巡查锅炉房、换热机组、管道、阀门、散热器及温控装置，查看水压、水温、循环状态与设备运行声响，及时排查跑冒滴漏、管路堵塞、温度异常等问题。定期对设备、管道进行除尘、排污、除锈保养，按工况调节运行参数。认真填写巡检、运行及故障记录，发现隐患第一时间处理上报。入冬前完成系统全面检修、试压试水，供暖期做好值守调控，停暖后开展管网排空与防护养护，保障办公楼室内温度达标、供暖系统平稳安全运行。</w:t>
      </w:r>
    </w:p>
    <w:p w14:paraId="5F392F6B">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default" w:ascii="宋体" w:hAnsi="宋体" w:eastAsia="宋体" w:cs="宋体"/>
          <w:spacing w:val="-1"/>
          <w:sz w:val="24"/>
          <w:szCs w:val="24"/>
          <w:lang w:val="en-US" w:eastAsia="zh-CN"/>
        </w:rPr>
        <w:t>给排水系统</w:t>
      </w:r>
      <w:r>
        <w:rPr>
          <w:rFonts w:hint="eastAsia" w:ascii="宋体" w:hAnsi="宋体" w:eastAsia="宋体" w:cs="宋体"/>
          <w:spacing w:val="-1"/>
          <w:sz w:val="24"/>
          <w:szCs w:val="24"/>
          <w:lang w:val="en-US" w:eastAsia="zh-CN"/>
        </w:rPr>
        <w:t>方面：</w:t>
      </w:r>
      <w:r>
        <w:rPr>
          <w:rFonts w:ascii="宋体" w:hAnsi="宋体" w:eastAsia="宋体" w:cs="宋体"/>
          <w:sz w:val="24"/>
          <w:szCs w:val="24"/>
        </w:rPr>
        <w:t>负责建发集团办公楼给排水系统日常运维管理。每日巡查供水管道、水泵、水箱、阀门、给排水管网及卫生间、茶水间等末端设施，检查水压、水流是否正常，及时排查管道渗漏、阀门失灵、排水堵塞、积水等问题。定期对水泵、管路、水箱进行清洁、检修与防腐养护，按要求完成水质、水位监测。规范做好巡检记录、设备运行台账，发现故障及时处置上报。定期清理化粪池、排水井及管网杂物，雨季提前排查排水设施，保障办公楼供水稳定、排水通畅，系统安全有序运转。</w:t>
      </w:r>
    </w:p>
    <w:p w14:paraId="0D8BF273">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default" w:ascii="宋体" w:hAnsi="宋体" w:eastAsia="宋体" w:cs="宋体"/>
          <w:spacing w:val="-1"/>
          <w:sz w:val="24"/>
          <w:szCs w:val="24"/>
          <w:lang w:val="en-US" w:eastAsia="zh-CN"/>
        </w:rPr>
        <w:t>土建</w:t>
      </w:r>
      <w:r>
        <w:rPr>
          <w:rFonts w:hint="eastAsia" w:ascii="宋体" w:hAnsi="宋体" w:eastAsia="宋体" w:cs="宋体"/>
          <w:spacing w:val="-1"/>
          <w:sz w:val="24"/>
          <w:szCs w:val="24"/>
          <w:lang w:val="en-US" w:eastAsia="zh-CN"/>
        </w:rPr>
        <w:t>方面：</w:t>
      </w:r>
      <w:r>
        <w:rPr>
          <w:rFonts w:ascii="宋体" w:hAnsi="宋体" w:eastAsia="宋体" w:cs="宋体"/>
          <w:sz w:val="24"/>
          <w:szCs w:val="24"/>
        </w:rPr>
        <w:t>负责建发集团办公楼土建设施日常巡检与养护工作。每日巡查楼体墙体、地面、门窗、屋面、楼梯、走廊及各类构筑物，细致检查墙面开裂、地面破损、门窗变形漏风、屋面渗水等问题。定期对墙体、地面、护栏、台阶等部位进行修补、除锈、刷漆及紧固处理，及时清理屋面、排水天沟杂物。认真做好巡检台账记录，发现破损、隐患第一时间整改上报。常态化排查建筑结构安全，做好防潮、防漏、防护工作，保障办公楼建筑主体完好、设施稳固，整体环境整洁安全。</w:t>
      </w:r>
    </w:p>
    <w:p w14:paraId="13CFC9FC">
      <w:pPr>
        <w:numPr>
          <w:ilvl w:val="0"/>
          <w:numId w:val="0"/>
        </w:num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二、</w:t>
      </w:r>
      <w:r>
        <w:rPr>
          <w:rFonts w:hint="default" w:ascii="宋体" w:hAnsi="宋体" w:eastAsia="宋体" w:cs="宋体"/>
          <w:spacing w:val="-1"/>
          <w:sz w:val="24"/>
          <w:szCs w:val="24"/>
          <w:lang w:val="en-US" w:eastAsia="zh-CN"/>
        </w:rPr>
        <w:t>租户服务与装修管理</w:t>
      </w:r>
    </w:p>
    <w:p w14:paraId="7F49B9C5">
      <w:pPr>
        <w:numPr>
          <w:ilvl w:val="0"/>
          <w:numId w:val="0"/>
        </w:numPr>
        <w:spacing w:line="360" w:lineRule="auto"/>
        <w:ind w:firstLine="480" w:firstLineChars="200"/>
        <w:jc w:val="both"/>
        <w:outlineLvl w:val="9"/>
        <w:rPr>
          <w:rFonts w:hint="default" w:ascii="宋体" w:hAnsi="宋体" w:eastAsia="宋体" w:cs="宋体"/>
          <w:spacing w:val="-1"/>
          <w:sz w:val="24"/>
          <w:szCs w:val="24"/>
          <w:lang w:val="en-US" w:eastAsia="zh-CN"/>
        </w:rPr>
      </w:pPr>
      <w:r>
        <w:rPr>
          <w:rFonts w:ascii="宋体" w:hAnsi="宋体" w:eastAsia="宋体" w:cs="宋体"/>
          <w:sz w:val="24"/>
          <w:szCs w:val="24"/>
        </w:rPr>
        <w:t>负责建发集团办公楼租户日常服务及装修全流程管理。主动对接租户需求，及时响应报修、咨询、场地协调等事宜，做好沟通对接与问题跟进，保障租户正常办公秩序。严格执行装修管控规定，受理装修申请并审核方案，明确施工规范、工期、安全及环境卫生要求。全程巡查装修现场，监管施工动线、噪音、动火、水电使用及垃圾清运，制止违规作业。完工后按标准开展竣工验收，核对现场恢复情况。做好各类服务、巡查及验收台账记录，兼顾服务质量与现场管理，维护楼宇整体环境与安全。</w:t>
      </w:r>
    </w:p>
    <w:p w14:paraId="7A59E0D9">
      <w:pPr>
        <w:numPr>
          <w:ilvl w:val="0"/>
          <w:numId w:val="0"/>
        </w:num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eastAsia="宋体" w:cs="宋体"/>
          <w:spacing w:val="-1"/>
          <w:kern w:val="2"/>
          <w:sz w:val="24"/>
          <w:szCs w:val="24"/>
          <w:lang w:val="en-US" w:eastAsia="zh-CN" w:bidi="ar-SA"/>
        </w:rPr>
        <w:t>三、</w:t>
      </w:r>
      <w:r>
        <w:rPr>
          <w:rFonts w:hint="default" w:ascii="宋体" w:hAnsi="宋体" w:eastAsia="宋体" w:cs="宋体"/>
          <w:spacing w:val="-1"/>
          <w:sz w:val="24"/>
          <w:szCs w:val="24"/>
          <w:lang w:val="en-US" w:eastAsia="zh-CN"/>
        </w:rPr>
        <w:t>预防性保养与计划检修</w:t>
      </w:r>
    </w:p>
    <w:p w14:paraId="15F44F04">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ascii="宋体" w:hAnsi="宋体" w:eastAsia="宋体" w:cs="宋体"/>
          <w:sz w:val="24"/>
          <w:szCs w:val="24"/>
          <w:lang w:val="en-US" w:eastAsia="zh-CN"/>
        </w:rPr>
        <w:t>负责建发集团办公楼各类设施设备的预防性保养与计划性检修工作。结合楼宇供配电、供暖、给排水、土建等系统设备运行特性，制定年度、季度、月度检修保养计划。严格按照规范定期对各系统设备进行拆机检查、清洁养护、参数校准、部件调试及损耗更换，提前排查潜在故障隐患，避免设备带病运行。全程规范记录保养、检修数据，建立完整设备台账，跟踪设备运行状态。针对老旧及高频使用设备重点维保，合理统筹检修工期，避开办公高峰期，在保障楼宇正常办公秩序的前提下，有效延长设备使用寿命，保障所有设施稳定、安全、高效运行。</w:t>
      </w:r>
    </w:p>
    <w:p w14:paraId="011EE740">
      <w:pPr>
        <w:numPr>
          <w:ilvl w:val="0"/>
          <w:numId w:val="0"/>
        </w:num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eastAsia="宋体" w:cs="宋体"/>
          <w:spacing w:val="-1"/>
          <w:kern w:val="2"/>
          <w:sz w:val="24"/>
          <w:szCs w:val="24"/>
          <w:lang w:val="en-US" w:eastAsia="zh-CN" w:bidi="ar-SA"/>
        </w:rPr>
        <w:t>四、</w:t>
      </w:r>
      <w:r>
        <w:rPr>
          <w:rFonts w:hint="default" w:ascii="宋体" w:hAnsi="宋体" w:eastAsia="宋体" w:cs="宋体"/>
          <w:spacing w:val="-1"/>
          <w:sz w:val="24"/>
          <w:szCs w:val="24"/>
          <w:lang w:val="en-US" w:eastAsia="zh-CN"/>
        </w:rPr>
        <w:t>应急抢修与安全管理</w:t>
      </w:r>
    </w:p>
    <w:p w14:paraId="4B787F89">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ascii="宋体" w:hAnsi="宋体" w:eastAsia="宋体" w:cs="宋体"/>
          <w:sz w:val="24"/>
          <w:szCs w:val="24"/>
          <w:lang w:val="en-US" w:eastAsia="zh-CN"/>
        </w:rPr>
        <w:t>负责建发集团办公楼各类设施设备应急抢修及全域安全管理工作。建立完善应急处置机制，针对停电、漏水、供暖故障、设施破损等突发问题，第一时间赶赴现场开展抢修作业，快速排除故障、恢复楼宇正常办公秩序。常态化开展楼宇安全巡查，排查用电、用火、设备运行及场地安全隐患，落实隐患整改闭环管理。定期开展安全宣传、应急演练，完善应急预案与安全台账，规范现场作业安全管控，严格落实各项安全管理制度，杜绝安全事故发生，全面保障办公楼人员、设备及楼宇整体运行安全。</w:t>
      </w:r>
    </w:p>
    <w:p w14:paraId="4A83FDA7">
      <w:pPr>
        <w:numPr>
          <w:ilvl w:val="0"/>
          <w:numId w:val="0"/>
        </w:numPr>
        <w:spacing w:line="360" w:lineRule="auto"/>
        <w:ind w:firstLine="476" w:firstLineChars="200"/>
        <w:jc w:val="both"/>
        <w:outlineLvl w:val="9"/>
        <w:rPr>
          <w:rFonts w:hint="eastAsia" w:ascii="宋体" w:hAnsi="宋体" w:eastAsia="宋体" w:cs="宋体"/>
          <w:spacing w:val="-1"/>
          <w:sz w:val="24"/>
          <w:szCs w:val="24"/>
          <w:lang w:val="en-US" w:eastAsia="zh-CN"/>
        </w:rPr>
      </w:pPr>
      <w:r>
        <w:rPr>
          <w:rFonts w:hint="eastAsia" w:ascii="宋体" w:hAnsi="宋体" w:eastAsia="宋体" w:cs="宋体"/>
          <w:spacing w:val="-1"/>
          <w:kern w:val="2"/>
          <w:sz w:val="24"/>
          <w:szCs w:val="24"/>
          <w:lang w:val="en-US" w:eastAsia="zh-CN" w:bidi="ar-SA"/>
        </w:rPr>
        <w:t>五、</w:t>
      </w:r>
      <w:r>
        <w:rPr>
          <w:rFonts w:hint="eastAsia" w:ascii="宋体" w:hAnsi="宋体" w:eastAsia="宋体" w:cs="宋体"/>
          <w:spacing w:val="-1"/>
          <w:sz w:val="24"/>
          <w:szCs w:val="24"/>
          <w:lang w:val="en-US" w:eastAsia="zh-CN"/>
        </w:rPr>
        <w:t>其它方面（工程维修方协助进行）</w:t>
      </w:r>
    </w:p>
    <w:p w14:paraId="434CB0DA">
      <w:pPr>
        <w:numPr>
          <w:ilvl w:val="0"/>
          <w:numId w:val="0"/>
        </w:numPr>
        <w:spacing w:line="360" w:lineRule="auto"/>
        <w:ind w:firstLine="480" w:firstLineChars="200"/>
        <w:jc w:val="both"/>
        <w:outlineLvl w:val="9"/>
        <w:rPr>
          <w:rFonts w:hint="default" w:ascii="宋体" w:hAnsi="宋体" w:eastAsia="宋体" w:cs="宋体"/>
          <w:spacing w:val="-1"/>
          <w:sz w:val="24"/>
          <w:szCs w:val="24"/>
          <w:lang w:val="en-US" w:eastAsia="zh-CN"/>
        </w:rPr>
      </w:pPr>
      <w:r>
        <w:rPr>
          <w:rFonts w:hint="eastAsia" w:ascii="宋体" w:hAnsi="宋体" w:eastAsia="宋体" w:cs="宋体"/>
          <w:sz w:val="24"/>
          <w:szCs w:val="24"/>
          <w:lang w:val="en-US" w:eastAsia="zh-CN"/>
        </w:rPr>
        <w:t>电梯系统方面：</w:t>
      </w:r>
      <w:r>
        <w:rPr>
          <w:rFonts w:ascii="宋体" w:hAnsi="宋体" w:eastAsia="宋体" w:cs="宋体"/>
          <w:sz w:val="24"/>
          <w:szCs w:val="24"/>
          <w:lang w:val="en-US" w:eastAsia="zh-CN"/>
        </w:rPr>
        <w:t>负责建发集团办公楼电梯系统日常运行与维护管理工作。每日对电梯运行状态、内外显示屏、按键按钮、门机系统、应急对讲及报警装置进行巡检，核查电梯启停、平层、开关门是否平稳顺畅，排查异响、抖动、故障报错等异常情况。监督配合专业维保单位开展定期保养、部件检测与调试工作，认真核对维保质量并做好台账记录。严格落实电梯安全运行管理制度，规范日常乘梯秩序，及时处理电梯小故障及突发问题。定期检查电梯应急救援装置，确保困人应急救援机制有效落实，保障办公楼电梯安全、平稳、可靠运行。</w:t>
      </w:r>
    </w:p>
    <w:p w14:paraId="55ADFC1F">
      <w:pPr>
        <w:numPr>
          <w:ilvl w:val="0"/>
          <w:numId w:val="0"/>
        </w:numPr>
        <w:spacing w:line="360" w:lineRule="auto"/>
        <w:ind w:firstLine="480" w:firstLineChars="200"/>
        <w:jc w:val="both"/>
        <w:outlineLvl w:val="9"/>
        <w:rPr>
          <w:rFonts w:hint="default" w:ascii="宋体" w:hAnsi="宋体" w:eastAsia="宋体" w:cs="宋体"/>
          <w:spacing w:val="-1"/>
          <w:sz w:val="24"/>
          <w:szCs w:val="24"/>
          <w:lang w:val="en-US" w:eastAsia="zh-CN"/>
        </w:rPr>
      </w:pPr>
      <w:r>
        <w:rPr>
          <w:rFonts w:hint="default" w:ascii="宋体" w:hAnsi="宋体" w:eastAsia="宋体" w:cs="宋体"/>
          <w:sz w:val="24"/>
          <w:szCs w:val="24"/>
          <w:lang w:val="en-US" w:eastAsia="zh-CN"/>
        </w:rPr>
        <w:t>消防系统</w:t>
      </w:r>
      <w:r>
        <w:rPr>
          <w:rFonts w:hint="eastAsia" w:ascii="宋体" w:hAnsi="宋体" w:eastAsia="宋体" w:cs="宋体"/>
          <w:sz w:val="24"/>
          <w:szCs w:val="24"/>
          <w:lang w:val="en-US" w:eastAsia="zh-CN"/>
        </w:rPr>
        <w:t>方面：负责建发集团办公楼消防系统的日常运行、巡查及维护管理工作。每日对火灾自动报警系统、喷淋系统、消防栓、应急照明、疏散指示、防火门、灭火器等消防设施进行逐项检查，确认设备完好有效、处于正常待命状态。定期开展消防管网压力检测、设备除尘调试、线路排查及失效器材更换，及时整改堵塞通道、遮挡消防设施等安全隐患。规范建立消防巡检台账，落实消防安全管理制度，定期配合开展消防自查和应急演练。遇有火情及设备故障第一时间上报处置，全面筑牢办公楼消防安全防线，确保消防系统稳定可靠运行。</w:t>
      </w:r>
    </w:p>
    <w:p w14:paraId="15F4A441">
      <w:pPr>
        <w:numPr>
          <w:ilvl w:val="0"/>
          <w:numId w:val="0"/>
        </w:numPr>
        <w:spacing w:line="360" w:lineRule="auto"/>
        <w:ind w:firstLine="480" w:firstLineChars="200"/>
        <w:jc w:val="both"/>
        <w:outlineLvl w:val="9"/>
        <w:rPr>
          <w:rFonts w:hint="default" w:ascii="宋体" w:hAnsi="宋体" w:eastAsia="宋体" w:cs="宋体"/>
          <w:spacing w:val="-1"/>
          <w:sz w:val="24"/>
          <w:szCs w:val="24"/>
          <w:lang w:val="en-US" w:eastAsia="zh-CN"/>
        </w:rPr>
      </w:pPr>
      <w:r>
        <w:rPr>
          <w:rFonts w:hint="default" w:ascii="宋体" w:hAnsi="宋体" w:eastAsia="宋体" w:cs="宋体"/>
          <w:sz w:val="24"/>
          <w:szCs w:val="24"/>
          <w:lang w:val="en-US" w:eastAsia="zh-CN"/>
        </w:rPr>
        <w:t>弱电</w:t>
      </w:r>
      <w:r>
        <w:rPr>
          <w:rFonts w:hint="eastAsia" w:ascii="宋体" w:hAnsi="宋体" w:eastAsia="宋体" w:cs="宋体"/>
          <w:sz w:val="24"/>
          <w:szCs w:val="24"/>
          <w:lang w:val="en-US" w:eastAsia="zh-CN"/>
        </w:rPr>
        <w:t>系统方面：负责建发集团办公楼弱电系统的日常运行与维护工作，涵盖监控、网络、门禁、楼宇对讲、公共广播及会议系统等设施。每日巡查各弱电设备运行状态，检查设备在线情况、画面成像、网络信号、门禁开合及声音传输效果，及时排查设备掉线、画面卡顿、信号异常、设备故障等问题。定期对弱电设备进行除尘调试、线路整理、接口检测与故障修复，保障系统稳定运行。规范做好日常巡检、维修保养台账记录，及时处理租户网络、门禁等报修问题。定期优化系统运行状态，排除潜在隐患，全面保障办公楼弱电各系统高效、稳定、正常运转。</w:t>
      </w:r>
    </w:p>
    <w:p w14:paraId="44CE9D79">
      <w:pPr>
        <w:widowControl/>
        <w:spacing w:line="360" w:lineRule="auto"/>
        <w:ind w:firstLine="476" w:firstLineChars="200"/>
        <w:jc w:val="left"/>
        <w:outlineLvl w:val="9"/>
        <w:rPr>
          <w:rFonts w:hint="eastAsia" w:ascii="宋体" w:hAnsi="宋体" w:eastAsia="宋体" w:cs="宋体"/>
          <w:spacing w:val="-1"/>
          <w:sz w:val="24"/>
          <w:szCs w:val="24"/>
          <w:lang w:val="en-US" w:eastAsia="zh-CN"/>
        </w:rPr>
      </w:pPr>
    </w:p>
    <w:p w14:paraId="020293BD">
      <w:pPr>
        <w:pStyle w:val="22"/>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二、项目要求</w:t>
      </w:r>
    </w:p>
    <w:p w14:paraId="5EF0FE7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28"/>
          <w:szCs w:val="28"/>
          <w:highlight w:val="none"/>
          <w:lang w:val="en-US" w:eastAsia="zh-CN"/>
        </w:rPr>
      </w:pPr>
      <w:r>
        <w:rPr>
          <w:rFonts w:hint="eastAsia" w:ascii="宋体" w:hAnsi="宋体" w:cs="宋体"/>
          <w:b/>
          <w:bCs/>
          <w:sz w:val="28"/>
          <w:szCs w:val="28"/>
          <w:highlight w:val="none"/>
          <w:lang w:val="en-US" w:eastAsia="zh-CN"/>
        </w:rPr>
        <w:t>综合维修</w:t>
      </w:r>
      <w:r>
        <w:rPr>
          <w:rFonts w:hint="eastAsia" w:ascii="宋体" w:hAnsi="宋体" w:eastAsia="宋体" w:cs="宋体"/>
          <w:b/>
          <w:bCs/>
          <w:sz w:val="28"/>
          <w:szCs w:val="28"/>
          <w:highlight w:val="none"/>
          <w:lang w:val="en-US" w:eastAsia="zh-CN"/>
        </w:rPr>
        <w:t>服务</w:t>
      </w:r>
    </w:p>
    <w:p w14:paraId="1A3C00ED">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日常运行与维护</w:t>
      </w:r>
    </w:p>
    <w:p w14:paraId="524D58F1">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供配电系统</w:t>
      </w:r>
      <w:r>
        <w:rPr>
          <w:rFonts w:hint="eastAsia" w:ascii="宋体" w:hAnsi="宋体" w:eastAsia="宋体" w:cs="宋体"/>
          <w:sz w:val="24"/>
          <w:szCs w:val="24"/>
          <w:lang w:val="en-US" w:eastAsia="zh-CN"/>
        </w:rPr>
        <w:t>方面）</w:t>
      </w:r>
    </w:p>
    <w:p w14:paraId="5FC84261">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高压配电室、变压器2小时一巡检。</w:t>
      </w:r>
    </w:p>
    <w:p w14:paraId="4A1F2A4A">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每周抄录一次低压侧电表，核算电能使用情况。</w:t>
      </w:r>
    </w:p>
    <w:p w14:paraId="2AB4BA72">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公共照明、楼层配电箱、线路、开关检修。</w:t>
      </w:r>
    </w:p>
    <w:p w14:paraId="15466852">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暖气系统</w:t>
      </w:r>
      <w:r>
        <w:rPr>
          <w:rFonts w:hint="eastAsia" w:ascii="宋体" w:hAnsi="宋体" w:eastAsia="宋体" w:cs="宋体"/>
          <w:sz w:val="24"/>
          <w:szCs w:val="24"/>
          <w:lang w:val="en-US" w:eastAsia="zh-CN"/>
        </w:rPr>
        <w:t>方面）</w:t>
      </w:r>
    </w:p>
    <w:p w14:paraId="01B27AD1">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锅炉设备启动、暖气配套系统启动，滤网清洗、温度调控、降噪节能</w:t>
      </w:r>
    </w:p>
    <w:p w14:paraId="3AA57C23">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锅炉房每2小时巡查一次，热力机房一天两次，上午一次，下午一次。</w:t>
      </w:r>
    </w:p>
    <w:p w14:paraId="03CF1576">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给排水系统</w:t>
      </w:r>
      <w:r>
        <w:rPr>
          <w:rFonts w:hint="eastAsia" w:ascii="宋体" w:hAnsi="宋体" w:eastAsia="宋体" w:cs="宋体"/>
          <w:sz w:val="24"/>
          <w:szCs w:val="24"/>
          <w:lang w:val="en-US" w:eastAsia="zh-CN"/>
        </w:rPr>
        <w:t>方面）</w:t>
      </w:r>
    </w:p>
    <w:p w14:paraId="5F418603">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生活水泵、水箱、管道、阀门、减压阀维护</w:t>
      </w:r>
    </w:p>
    <w:p w14:paraId="3E83509B">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公共卫生间管网疏通（2楼）</w:t>
      </w:r>
    </w:p>
    <w:p w14:paraId="4F0571F8">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生活水泵房每日巡检2次，上午一次，下午一次。</w:t>
      </w:r>
    </w:p>
    <w:p w14:paraId="2008D4D9">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default" w:ascii="宋体" w:hAnsi="宋体" w:eastAsia="宋体" w:cs="宋体"/>
          <w:sz w:val="24"/>
          <w:szCs w:val="24"/>
          <w:lang w:val="en-US" w:eastAsia="zh-CN"/>
        </w:rPr>
        <w:t>每日巡查负三层集水坑一次（洗车房下方集水坑为重点）。</w:t>
      </w:r>
    </w:p>
    <w:p w14:paraId="484986C8">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土建</w:t>
      </w:r>
      <w:r>
        <w:rPr>
          <w:rFonts w:hint="eastAsia" w:ascii="宋体" w:hAnsi="宋体" w:eastAsia="宋体" w:cs="宋体"/>
          <w:sz w:val="24"/>
          <w:szCs w:val="24"/>
          <w:lang w:val="en-US" w:eastAsia="zh-CN"/>
        </w:rPr>
        <w:t>方面）</w:t>
      </w:r>
    </w:p>
    <w:p w14:paraId="435F8334">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对公共区域内墙面及地面踢脚线维护维修</w:t>
      </w:r>
      <w:r>
        <w:rPr>
          <w:rFonts w:hint="eastAsia" w:ascii="宋体" w:hAnsi="宋体" w:eastAsia="宋体" w:cs="宋体"/>
          <w:sz w:val="24"/>
          <w:szCs w:val="24"/>
          <w:lang w:val="en-US" w:eastAsia="zh-CN"/>
        </w:rPr>
        <w:t>及其它需要临时维修的部位。</w:t>
      </w:r>
    </w:p>
    <w:p w14:paraId="4C9C72C0">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二</w:t>
      </w:r>
      <w:r>
        <w:rPr>
          <w:rFonts w:hint="default" w:ascii="宋体" w:hAnsi="宋体" w:eastAsia="宋体" w:cs="宋体"/>
          <w:sz w:val="24"/>
          <w:szCs w:val="24"/>
          <w:lang w:val="en-US" w:eastAsia="zh-CN"/>
        </w:rPr>
        <w:t>、租户服务与装修管理</w:t>
      </w:r>
    </w:p>
    <w:p w14:paraId="7C08F0C8">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报修响应：配合租户室内水电维修需求，开水开电，断水断电</w:t>
      </w:r>
    </w:p>
    <w:p w14:paraId="10F3A711">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装修管控：现场巡查、动火审批、结构安全</w:t>
      </w:r>
    </w:p>
    <w:p w14:paraId="2CD6566D">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三、</w:t>
      </w:r>
      <w:r>
        <w:rPr>
          <w:rFonts w:hint="default" w:ascii="宋体" w:hAnsi="宋体" w:eastAsia="宋体" w:cs="宋体"/>
          <w:sz w:val="24"/>
          <w:szCs w:val="24"/>
          <w:lang w:val="en-US" w:eastAsia="zh-CN"/>
        </w:rPr>
        <w:t>预防性保养与计划检修</w:t>
      </w:r>
    </w:p>
    <w:p w14:paraId="4D0DC50E">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对强电井内卫生，各机房机柜灰尘定时清理</w:t>
      </w:r>
      <w:r>
        <w:rPr>
          <w:rFonts w:hint="eastAsia" w:ascii="宋体" w:hAnsi="宋体" w:eastAsia="宋体" w:cs="宋体"/>
          <w:sz w:val="24"/>
          <w:szCs w:val="24"/>
          <w:lang w:val="en-US" w:eastAsia="zh-CN"/>
        </w:rPr>
        <w:t>维护。</w:t>
      </w:r>
    </w:p>
    <w:p w14:paraId="171828CF">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供暖前检修润滑、清洁、紧固</w:t>
      </w:r>
      <w:r>
        <w:rPr>
          <w:rFonts w:hint="eastAsia" w:ascii="宋体" w:hAnsi="宋体" w:eastAsia="宋体" w:cs="宋体"/>
          <w:sz w:val="24"/>
          <w:szCs w:val="24"/>
          <w:lang w:val="en-US" w:eastAsia="zh-CN"/>
        </w:rPr>
        <w:t>相关</w:t>
      </w:r>
      <w:r>
        <w:rPr>
          <w:rFonts w:hint="default" w:ascii="宋体" w:hAnsi="宋体" w:eastAsia="宋体" w:cs="宋体"/>
          <w:sz w:val="24"/>
          <w:szCs w:val="24"/>
          <w:lang w:val="en-US" w:eastAsia="zh-CN"/>
        </w:rPr>
        <w:t>设施设备。</w:t>
      </w:r>
    </w:p>
    <w:p w14:paraId="2D04C190">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季节性工作：冬季防冻、雨季防汛、台风防范</w:t>
      </w:r>
    </w:p>
    <w:p w14:paraId="75E6AF47">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四</w:t>
      </w:r>
      <w:r>
        <w:rPr>
          <w:rFonts w:hint="default" w:ascii="宋体" w:hAnsi="宋体" w:eastAsia="宋体" w:cs="宋体"/>
          <w:sz w:val="24"/>
          <w:szCs w:val="24"/>
          <w:lang w:val="en-US" w:eastAsia="zh-CN"/>
        </w:rPr>
        <w:t>、应急抢修与安全管理</w:t>
      </w:r>
    </w:p>
    <w:p w14:paraId="7578D04B">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突发事件：停电、停水、漏水、电梯困人、火灾、爆管</w:t>
      </w:r>
      <w:r>
        <w:rPr>
          <w:rFonts w:hint="eastAsia" w:ascii="宋体" w:hAnsi="宋体" w:eastAsia="宋体" w:cs="宋体"/>
          <w:sz w:val="24"/>
          <w:szCs w:val="24"/>
          <w:lang w:val="en-US" w:eastAsia="zh-CN"/>
        </w:rPr>
        <w:t>等</w:t>
      </w:r>
      <w:r>
        <w:rPr>
          <w:rFonts w:hint="default" w:ascii="宋体" w:hAnsi="宋体" w:eastAsia="宋体" w:cs="宋体"/>
          <w:sz w:val="24"/>
          <w:szCs w:val="24"/>
          <w:lang w:val="en-US" w:eastAsia="zh-CN"/>
        </w:rPr>
        <w:t>应急处理</w:t>
      </w:r>
      <w:r>
        <w:rPr>
          <w:rFonts w:hint="eastAsia" w:ascii="宋体" w:hAnsi="宋体" w:eastAsia="宋体" w:cs="宋体"/>
          <w:sz w:val="24"/>
          <w:szCs w:val="24"/>
          <w:lang w:val="en-US" w:eastAsia="zh-CN"/>
        </w:rPr>
        <w:t>。</w:t>
      </w:r>
    </w:p>
    <w:p w14:paraId="427B33B0">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安全操作：高空／用电／有限空间规范</w:t>
      </w:r>
    </w:p>
    <w:p w14:paraId="1798F5DD">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隐患排查：漏电、漏水、异响、超温、消防通道堵塞</w:t>
      </w:r>
    </w:p>
    <w:p w14:paraId="3404D8A8">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default" w:ascii="宋体" w:hAnsi="宋体" w:eastAsia="宋体" w:cs="宋体"/>
          <w:sz w:val="24"/>
          <w:szCs w:val="24"/>
          <w:lang w:val="en-US" w:eastAsia="zh-CN"/>
        </w:rPr>
        <w:t>配合电梯、消防、弱电、空调等专业维保单位</w:t>
      </w:r>
      <w:r>
        <w:rPr>
          <w:rFonts w:hint="eastAsia" w:ascii="宋体" w:hAnsi="宋体" w:eastAsia="宋体" w:cs="宋体"/>
          <w:sz w:val="24"/>
          <w:szCs w:val="24"/>
          <w:lang w:val="en-US" w:eastAsia="zh-CN"/>
        </w:rPr>
        <w:t>进行</w:t>
      </w:r>
      <w:r>
        <w:rPr>
          <w:rFonts w:hint="default" w:ascii="宋体" w:hAnsi="宋体" w:eastAsia="宋体" w:cs="宋体"/>
          <w:sz w:val="24"/>
          <w:szCs w:val="24"/>
          <w:lang w:val="en-US" w:eastAsia="zh-CN"/>
        </w:rPr>
        <w:t>维修。</w:t>
      </w:r>
    </w:p>
    <w:p w14:paraId="4AED6DCF">
      <w:pPr>
        <w:numPr>
          <w:ilvl w:val="0"/>
          <w:numId w:val="0"/>
        </w:numPr>
        <w:spacing w:line="360" w:lineRule="auto"/>
        <w:ind w:firstLine="480" w:firstLineChars="200"/>
        <w:jc w:val="both"/>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五、其它方面（工程维修方协助进行）</w:t>
      </w:r>
    </w:p>
    <w:p w14:paraId="1AFB5A9A">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（电梯系统方面）</w:t>
      </w:r>
    </w:p>
    <w:p w14:paraId="02C3B310">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1、电梯/</w:t>
      </w:r>
      <w:r>
        <w:rPr>
          <w:rFonts w:hint="default" w:ascii="宋体" w:hAnsi="宋体" w:eastAsia="宋体" w:cs="宋体"/>
          <w:sz w:val="24"/>
          <w:szCs w:val="24"/>
          <w:lang w:val="en-US" w:eastAsia="zh-CN"/>
        </w:rPr>
        <w:t>协助第三方半月维保，困人救援（不包含电梯维修，专业性救援）</w:t>
      </w:r>
    </w:p>
    <w:p w14:paraId="0FB017A1">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机房卫生，电梯五方通话，机房消防电话，灭火器每月检查一次。</w:t>
      </w:r>
    </w:p>
    <w:p w14:paraId="3FEFAB5A">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消防系统</w:t>
      </w:r>
      <w:r>
        <w:rPr>
          <w:rFonts w:hint="eastAsia" w:ascii="宋体" w:hAnsi="宋体" w:eastAsia="宋体" w:cs="宋体"/>
          <w:sz w:val="24"/>
          <w:szCs w:val="24"/>
          <w:lang w:val="en-US" w:eastAsia="zh-CN"/>
        </w:rPr>
        <w:t>方面）</w:t>
      </w:r>
    </w:p>
    <w:p w14:paraId="0F295AE9">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喷淋及消火栓系统发生漏水情况</w:t>
      </w:r>
      <w:r>
        <w:rPr>
          <w:rFonts w:hint="eastAsia" w:ascii="宋体" w:hAnsi="宋体" w:eastAsia="宋体" w:cs="宋体"/>
          <w:sz w:val="24"/>
          <w:szCs w:val="24"/>
          <w:lang w:val="en-US" w:eastAsia="zh-CN"/>
        </w:rPr>
        <w:t>及</w:t>
      </w:r>
      <w:r>
        <w:rPr>
          <w:rFonts w:hint="default" w:ascii="宋体" w:hAnsi="宋体" w:eastAsia="宋体" w:cs="宋体"/>
          <w:sz w:val="24"/>
          <w:szCs w:val="24"/>
          <w:lang w:val="en-US" w:eastAsia="zh-CN"/>
        </w:rPr>
        <w:t>时</w:t>
      </w:r>
      <w:r>
        <w:rPr>
          <w:rFonts w:hint="eastAsia" w:ascii="宋体" w:hAnsi="宋体" w:eastAsia="宋体" w:cs="宋体"/>
          <w:sz w:val="24"/>
          <w:szCs w:val="24"/>
          <w:lang w:val="en-US" w:eastAsia="zh-CN"/>
        </w:rPr>
        <w:t>维修</w:t>
      </w:r>
      <w:r>
        <w:rPr>
          <w:rFonts w:hint="default" w:ascii="宋体" w:hAnsi="宋体" w:eastAsia="宋体" w:cs="宋体"/>
          <w:sz w:val="24"/>
          <w:szCs w:val="24"/>
          <w:lang w:val="en-US" w:eastAsia="zh-CN"/>
        </w:rPr>
        <w:t>处理，火灾报警器故障及时</w:t>
      </w:r>
      <w:r>
        <w:rPr>
          <w:rFonts w:hint="eastAsia" w:ascii="宋体" w:hAnsi="宋体" w:eastAsia="宋体" w:cs="宋体"/>
          <w:sz w:val="24"/>
          <w:szCs w:val="24"/>
          <w:lang w:val="en-US" w:eastAsia="zh-CN"/>
        </w:rPr>
        <w:t>维修</w:t>
      </w:r>
      <w:r>
        <w:rPr>
          <w:rFonts w:hint="default" w:ascii="宋体" w:hAnsi="宋体" w:eastAsia="宋体" w:cs="宋体"/>
          <w:sz w:val="24"/>
          <w:szCs w:val="24"/>
          <w:lang w:val="en-US" w:eastAsia="zh-CN"/>
        </w:rPr>
        <w:t>处理。</w:t>
      </w:r>
    </w:p>
    <w:p w14:paraId="6A1A482E">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default" w:ascii="宋体" w:hAnsi="宋体" w:eastAsia="宋体" w:cs="宋体"/>
          <w:sz w:val="24"/>
          <w:szCs w:val="24"/>
          <w:lang w:val="en-US" w:eastAsia="zh-CN"/>
        </w:rPr>
        <w:t>防火门闭门器</w:t>
      </w:r>
      <w:r>
        <w:rPr>
          <w:rFonts w:hint="eastAsia" w:ascii="宋体" w:hAnsi="宋体" w:eastAsia="宋体" w:cs="宋体"/>
          <w:sz w:val="24"/>
          <w:szCs w:val="24"/>
          <w:lang w:val="en-US" w:eastAsia="zh-CN"/>
        </w:rPr>
        <w:t>损坏</w:t>
      </w:r>
      <w:r>
        <w:rPr>
          <w:rFonts w:hint="default" w:ascii="宋体" w:hAnsi="宋体" w:eastAsia="宋体" w:cs="宋体"/>
          <w:sz w:val="24"/>
          <w:szCs w:val="24"/>
          <w:lang w:val="en-US" w:eastAsia="zh-CN"/>
        </w:rPr>
        <w:t>更换维修，消防安全指示牌</w:t>
      </w:r>
      <w:r>
        <w:rPr>
          <w:rFonts w:hint="eastAsia" w:ascii="宋体" w:hAnsi="宋体" w:eastAsia="宋体" w:cs="宋体"/>
          <w:sz w:val="24"/>
          <w:szCs w:val="24"/>
          <w:lang w:val="en-US" w:eastAsia="zh-CN"/>
        </w:rPr>
        <w:t>损坏</w:t>
      </w:r>
      <w:r>
        <w:rPr>
          <w:rFonts w:hint="default" w:ascii="宋体" w:hAnsi="宋体" w:eastAsia="宋体" w:cs="宋体"/>
          <w:sz w:val="24"/>
          <w:szCs w:val="24"/>
          <w:lang w:val="en-US" w:eastAsia="zh-CN"/>
        </w:rPr>
        <w:t>更换维修。</w:t>
      </w:r>
    </w:p>
    <w:p w14:paraId="287CD08B">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配合商户喷淋消防改造时关闭信号蝶阀，泄水。改造完毕后注水及检查有无漏水情况。</w:t>
      </w:r>
    </w:p>
    <w:p w14:paraId="33B4A3E7">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弱电</w:t>
      </w:r>
      <w:r>
        <w:rPr>
          <w:rFonts w:hint="eastAsia" w:ascii="宋体" w:hAnsi="宋体" w:eastAsia="宋体" w:cs="宋体"/>
          <w:sz w:val="24"/>
          <w:szCs w:val="24"/>
          <w:lang w:val="en-US" w:eastAsia="zh-CN"/>
        </w:rPr>
        <w:t>系统方面）</w:t>
      </w:r>
    </w:p>
    <w:p w14:paraId="5E77837D">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default" w:ascii="宋体" w:hAnsi="宋体" w:eastAsia="宋体" w:cs="宋体"/>
          <w:sz w:val="24"/>
          <w:szCs w:val="24"/>
          <w:lang w:val="en-US" w:eastAsia="zh-CN"/>
        </w:rPr>
        <w:t>监控、门禁、停车场系统日常简单故障</w:t>
      </w:r>
      <w:r>
        <w:rPr>
          <w:rFonts w:hint="eastAsia" w:ascii="宋体" w:hAnsi="宋体" w:eastAsia="宋体" w:cs="宋体"/>
          <w:sz w:val="24"/>
          <w:szCs w:val="24"/>
          <w:lang w:val="en-US" w:eastAsia="zh-CN"/>
        </w:rPr>
        <w:t>排除</w:t>
      </w:r>
      <w:r>
        <w:rPr>
          <w:rFonts w:hint="default" w:ascii="宋体" w:hAnsi="宋体" w:eastAsia="宋体" w:cs="宋体"/>
          <w:sz w:val="24"/>
          <w:szCs w:val="24"/>
          <w:lang w:val="en-US" w:eastAsia="zh-CN"/>
        </w:rPr>
        <w:t>（涉及专业性维修需找厂家专业人员处理）</w:t>
      </w:r>
    </w:p>
    <w:p w14:paraId="6204AD85">
      <w:pPr>
        <w:numPr>
          <w:ilvl w:val="0"/>
          <w:numId w:val="0"/>
        </w:numPr>
        <w:spacing w:line="360" w:lineRule="auto"/>
        <w:ind w:firstLine="480" w:firstLineChars="200"/>
        <w:jc w:val="both"/>
        <w:outlineLvl w:val="9"/>
        <w:rPr>
          <w:rFonts w:hint="eastAsia" w:ascii="宋体" w:hAnsi="宋体" w:eastAsia="宋体" w:cs="宋体"/>
          <w:sz w:val="24"/>
          <w:szCs w:val="24"/>
          <w:lang w:val="en-US" w:eastAsia="zh-CN"/>
        </w:rPr>
      </w:pPr>
    </w:p>
    <w:p w14:paraId="4911BCDF">
      <w:pPr>
        <w:numPr>
          <w:ilvl w:val="0"/>
          <w:numId w:val="0"/>
        </w:numPr>
        <w:spacing w:line="360" w:lineRule="auto"/>
        <w:ind w:firstLine="480" w:firstLineChars="200"/>
        <w:jc w:val="both"/>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六、除上述服务内容外，其它特殊专业（如：消防、电梯、强电、弱电、安防、景观照明等）的维修，甲方另行委托专业团队或人员进行维修。不包含在本合同服务范围内。</w:t>
      </w:r>
    </w:p>
    <w:p w14:paraId="765E37B8">
      <w:pPr>
        <w:pStyle w:val="22"/>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六、绩效评价及标准</w:t>
      </w:r>
    </w:p>
    <w:p w14:paraId="6FC81F0E">
      <w:pPr>
        <w:pStyle w:val="10"/>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highlight w:val="none"/>
        </w:rPr>
        <w:t>绩效评价及标准</w:t>
      </w:r>
    </w:p>
    <w:p w14:paraId="1A454EEC">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Theme="minorEastAsia" w:hAnsiTheme="minorEastAsia" w:eastAsiaTheme="minorEastAsia" w:cstheme="minorEastAsia"/>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考核单位：张家口霖辉物业管理集团有限公司          考核时间：</w:t>
      </w:r>
    </w:p>
    <w:tbl>
      <w:tblPr>
        <w:tblStyle w:val="15"/>
        <w:tblW w:w="9742" w:type="dxa"/>
        <w:tblInd w:w="114" w:type="dxa"/>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27"/>
        <w:gridCol w:w="823"/>
        <w:gridCol w:w="1807"/>
        <w:gridCol w:w="4465"/>
        <w:gridCol w:w="576"/>
        <w:gridCol w:w="860"/>
        <w:gridCol w:w="574"/>
        <w:gridCol w:w="10"/>
      </w:tblGrid>
      <w:tr w14:paraId="0276F782">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79" w:hRule="atLeast"/>
        </w:trPr>
        <w:tc>
          <w:tcPr>
            <w:tcW w:w="627" w:type="dxa"/>
            <w:tcBorders>
              <w:tl2br w:val="nil"/>
              <w:tr2bl w:val="nil"/>
            </w:tcBorders>
            <w:shd w:val="clear" w:color="000000" w:fill="FFFFFF"/>
            <w:noWrap w:val="0"/>
            <w:vAlign w:val="center"/>
          </w:tcPr>
          <w:p w14:paraId="5EAF6962">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rPr>
              <w:t>序号</w:t>
            </w:r>
          </w:p>
        </w:tc>
        <w:tc>
          <w:tcPr>
            <w:tcW w:w="823" w:type="dxa"/>
            <w:tcBorders>
              <w:tl2br w:val="nil"/>
              <w:tr2bl w:val="nil"/>
            </w:tcBorders>
            <w:shd w:val="clear" w:color="000000" w:fill="FFFFFF"/>
            <w:noWrap w:val="0"/>
            <w:vAlign w:val="center"/>
          </w:tcPr>
          <w:p w14:paraId="23C309CB">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rPr>
              <w:t>评价内容</w:t>
            </w:r>
          </w:p>
        </w:tc>
        <w:tc>
          <w:tcPr>
            <w:tcW w:w="6272" w:type="dxa"/>
            <w:gridSpan w:val="2"/>
            <w:tcBorders>
              <w:tl2br w:val="nil"/>
              <w:tr2bl w:val="nil"/>
            </w:tcBorders>
            <w:shd w:val="clear" w:color="000000" w:fill="FFFFFF"/>
            <w:noWrap w:val="0"/>
            <w:vAlign w:val="center"/>
          </w:tcPr>
          <w:p w14:paraId="01618F6C">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b w:val="0"/>
                <w:bCs w:val="0"/>
                <w:sz w:val="24"/>
                <w:szCs w:val="24"/>
                <w:highlight w:val="none"/>
              </w:rPr>
              <w:t>绩效评价及标准</w:t>
            </w:r>
          </w:p>
        </w:tc>
        <w:tc>
          <w:tcPr>
            <w:tcW w:w="576" w:type="dxa"/>
            <w:tcBorders>
              <w:tl2br w:val="nil"/>
              <w:tr2bl w:val="nil"/>
            </w:tcBorders>
            <w:shd w:val="clear" w:color="000000" w:fill="FFFFFF"/>
            <w:noWrap w:val="0"/>
            <w:vAlign w:val="center"/>
          </w:tcPr>
          <w:p w14:paraId="64AE18DC">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rPr>
              <w:t>分值</w:t>
            </w:r>
          </w:p>
        </w:tc>
        <w:tc>
          <w:tcPr>
            <w:tcW w:w="860" w:type="dxa"/>
            <w:tcBorders>
              <w:tl2br w:val="nil"/>
              <w:tr2bl w:val="nil"/>
            </w:tcBorders>
            <w:shd w:val="clear" w:color="000000" w:fill="FFFFFF"/>
            <w:noWrap w:val="0"/>
            <w:vAlign w:val="center"/>
          </w:tcPr>
          <w:p w14:paraId="19CA1DB6">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rPr>
              <w:t>评分细则</w:t>
            </w:r>
          </w:p>
        </w:tc>
        <w:tc>
          <w:tcPr>
            <w:tcW w:w="584" w:type="dxa"/>
            <w:gridSpan w:val="2"/>
            <w:tcBorders>
              <w:tl2br w:val="nil"/>
              <w:tr2bl w:val="nil"/>
            </w:tcBorders>
            <w:shd w:val="clear" w:color="000000" w:fill="FFFFFF"/>
            <w:noWrap w:val="0"/>
            <w:vAlign w:val="center"/>
          </w:tcPr>
          <w:p w14:paraId="2C42D664">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rPr>
              <w:t>扣分</w:t>
            </w:r>
          </w:p>
        </w:tc>
      </w:tr>
      <w:tr w14:paraId="2C8A4F1D">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05" w:hRule="atLeast"/>
        </w:trPr>
        <w:tc>
          <w:tcPr>
            <w:tcW w:w="627" w:type="dxa"/>
            <w:vMerge w:val="restart"/>
            <w:tcBorders>
              <w:tl2br w:val="nil"/>
              <w:tr2bl w:val="nil"/>
            </w:tcBorders>
            <w:noWrap w:val="0"/>
            <w:vAlign w:val="center"/>
          </w:tcPr>
          <w:p w14:paraId="3B271DC1">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一</w:t>
            </w:r>
          </w:p>
        </w:tc>
        <w:tc>
          <w:tcPr>
            <w:tcW w:w="823" w:type="dxa"/>
            <w:vMerge w:val="restart"/>
            <w:tcBorders>
              <w:tl2br w:val="nil"/>
              <w:tr2bl w:val="nil"/>
            </w:tcBorders>
            <w:noWrap w:val="0"/>
            <w:vAlign w:val="center"/>
          </w:tcPr>
          <w:p w14:paraId="3D75C9F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kern w:val="0"/>
                <w:sz w:val="24"/>
                <w:szCs w:val="24"/>
              </w:rPr>
            </w:pPr>
            <w:r>
              <w:rPr>
                <w:rFonts w:hint="eastAsia" w:asciiTheme="minorEastAsia" w:hAnsiTheme="minorEastAsia" w:cstheme="minorEastAsia"/>
                <w:b w:val="0"/>
                <w:bCs w:val="0"/>
                <w:i w:val="0"/>
                <w:iCs w:val="0"/>
                <w:color w:val="000000"/>
                <w:kern w:val="0"/>
                <w:sz w:val="24"/>
                <w:szCs w:val="24"/>
                <w:u w:val="none"/>
                <w:lang w:val="en-US" w:eastAsia="zh-CN" w:bidi="ar"/>
              </w:rPr>
              <w:t>岗位要求</w:t>
            </w:r>
          </w:p>
        </w:tc>
        <w:tc>
          <w:tcPr>
            <w:tcW w:w="6272" w:type="dxa"/>
            <w:gridSpan w:val="2"/>
            <w:tcBorders>
              <w:tl2br w:val="nil"/>
              <w:tr2bl w:val="nil"/>
            </w:tcBorders>
            <w:noWrap w:val="0"/>
            <w:vAlign w:val="center"/>
          </w:tcPr>
          <w:p w14:paraId="63C0FBA2">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kern w:val="0"/>
                <w:sz w:val="24"/>
                <w:szCs w:val="24"/>
                <w:lang w:eastAsia="zh-CN"/>
              </w:rPr>
            </w:pPr>
            <w:r>
              <w:rPr>
                <w:rFonts w:hint="eastAsia" w:asciiTheme="minorEastAsia" w:hAnsiTheme="minorEastAsia" w:cstheme="minorEastAsia"/>
                <w:b w:val="0"/>
                <w:bCs w:val="0"/>
                <w:i w:val="0"/>
                <w:iCs w:val="0"/>
                <w:color w:val="000000"/>
                <w:kern w:val="0"/>
                <w:sz w:val="24"/>
                <w:szCs w:val="24"/>
                <w:u w:val="none"/>
                <w:lang w:val="en-US" w:eastAsia="zh-CN" w:bidi="ar"/>
              </w:rPr>
              <w:t>1.</w:t>
            </w:r>
            <w:r>
              <w:rPr>
                <w:rFonts w:hint="eastAsia" w:asciiTheme="minorEastAsia" w:hAnsiTheme="minorEastAsia" w:eastAsiaTheme="minorEastAsia" w:cstheme="minorEastAsia"/>
                <w:sz w:val="24"/>
                <w:szCs w:val="24"/>
                <w:lang w:val="en-US" w:eastAsia="zh-CN"/>
              </w:rPr>
              <w:t>维保作业人员须取得相应特种设备作业人员证，</w:t>
            </w:r>
            <w:r>
              <w:rPr>
                <w:rFonts w:hint="eastAsia" w:asciiTheme="minorEastAsia" w:hAnsiTheme="minorEastAsia" w:eastAsiaTheme="minorEastAsia" w:cstheme="minorEastAsia"/>
                <w:b w:val="0"/>
                <w:bCs w:val="0"/>
                <w:sz w:val="24"/>
                <w:szCs w:val="24"/>
                <w:lang w:val="en-US" w:eastAsia="zh-CN"/>
              </w:rPr>
              <w:t>经过安全技术培训，否则不得从事相关工作</w:t>
            </w:r>
            <w:r>
              <w:rPr>
                <w:rFonts w:hint="eastAsia" w:asciiTheme="minorEastAsia" w:hAnsiTheme="minorEastAsia" w:cstheme="minorEastAsia"/>
                <w:b w:val="0"/>
                <w:bCs w:val="0"/>
                <w:i w:val="0"/>
                <w:iCs w:val="0"/>
                <w:color w:val="000000"/>
                <w:kern w:val="0"/>
                <w:sz w:val="24"/>
                <w:szCs w:val="24"/>
                <w:u w:val="none"/>
                <w:lang w:val="en-US" w:eastAsia="zh-CN" w:bidi="ar"/>
              </w:rPr>
              <w:t>。</w:t>
            </w:r>
          </w:p>
        </w:tc>
        <w:tc>
          <w:tcPr>
            <w:tcW w:w="576" w:type="dxa"/>
            <w:tcBorders>
              <w:tl2br w:val="nil"/>
              <w:tr2bl w:val="nil"/>
            </w:tcBorders>
            <w:noWrap w:val="0"/>
            <w:vAlign w:val="center"/>
          </w:tcPr>
          <w:p w14:paraId="7CFA0738">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sz w:val="24"/>
                <w:szCs w:val="24"/>
                <w:u w:val="none"/>
                <w:lang w:val="en-US" w:eastAsia="zh-CN"/>
              </w:rPr>
              <w:t>10</w:t>
            </w:r>
          </w:p>
        </w:tc>
        <w:tc>
          <w:tcPr>
            <w:tcW w:w="860" w:type="dxa"/>
            <w:tcBorders>
              <w:tl2br w:val="nil"/>
              <w:tr2bl w:val="nil"/>
            </w:tcBorders>
            <w:noWrap w:val="0"/>
            <w:vAlign w:val="center"/>
          </w:tcPr>
          <w:p w14:paraId="61B944B5">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color w:val="000000"/>
                <w:sz w:val="21"/>
                <w:szCs w:val="21"/>
                <w:highlight w:val="none"/>
              </w:rPr>
              <w:t>维保人员不具备资格的扣</w:t>
            </w:r>
            <w:r>
              <w:rPr>
                <w:rFonts w:hint="eastAsia" w:asciiTheme="minorEastAsia" w:hAnsiTheme="minorEastAsia" w:cstheme="minorEastAsia"/>
                <w:color w:val="000000"/>
                <w:sz w:val="21"/>
                <w:szCs w:val="21"/>
                <w:highlight w:val="none"/>
                <w:lang w:val="en-US" w:eastAsia="zh-CN"/>
              </w:rPr>
              <w:t>2</w:t>
            </w:r>
            <w:r>
              <w:rPr>
                <w:rFonts w:hint="eastAsia" w:asciiTheme="minorEastAsia" w:hAnsiTheme="minorEastAsia" w:eastAsiaTheme="minorEastAsia" w:cstheme="minorEastAsia"/>
                <w:color w:val="000000"/>
                <w:sz w:val="21"/>
                <w:szCs w:val="21"/>
                <w:highlight w:val="none"/>
              </w:rPr>
              <w:t>分/人次</w:t>
            </w:r>
            <w:r>
              <w:rPr>
                <w:rFonts w:hint="eastAsia" w:asciiTheme="minorEastAsia" w:hAnsiTheme="minorEastAsia" w:cstheme="minorEastAsia"/>
                <w:color w:val="000000"/>
                <w:sz w:val="21"/>
                <w:szCs w:val="21"/>
                <w:highlight w:val="none"/>
                <w:lang w:eastAsia="zh-CN"/>
              </w:rPr>
              <w:t>，且不允许上岗。</w:t>
            </w:r>
          </w:p>
        </w:tc>
        <w:tc>
          <w:tcPr>
            <w:tcW w:w="584" w:type="dxa"/>
            <w:gridSpan w:val="2"/>
            <w:tcBorders>
              <w:tl2br w:val="nil"/>
              <w:tr2bl w:val="nil"/>
            </w:tcBorders>
            <w:noWrap w:val="0"/>
            <w:vAlign w:val="center"/>
          </w:tcPr>
          <w:p w14:paraId="7AF56FCF">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351A7388">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627" w:type="dxa"/>
            <w:vMerge w:val="continue"/>
            <w:tcBorders>
              <w:tl2br w:val="nil"/>
              <w:tr2bl w:val="nil"/>
            </w:tcBorders>
            <w:noWrap w:val="0"/>
            <w:vAlign w:val="center"/>
          </w:tcPr>
          <w:p w14:paraId="78E95F16">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sz w:val="24"/>
                <w:szCs w:val="24"/>
              </w:rPr>
            </w:pPr>
          </w:p>
        </w:tc>
        <w:tc>
          <w:tcPr>
            <w:tcW w:w="823" w:type="dxa"/>
            <w:vMerge w:val="continue"/>
            <w:tcBorders>
              <w:tl2br w:val="nil"/>
              <w:tr2bl w:val="nil"/>
            </w:tcBorders>
            <w:noWrap w:val="0"/>
            <w:vAlign w:val="center"/>
          </w:tcPr>
          <w:p w14:paraId="6E57F1B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sz w:val="24"/>
                <w:szCs w:val="24"/>
              </w:rPr>
            </w:pPr>
          </w:p>
        </w:tc>
        <w:tc>
          <w:tcPr>
            <w:tcW w:w="6272" w:type="dxa"/>
            <w:gridSpan w:val="2"/>
            <w:tcBorders>
              <w:tl2br w:val="nil"/>
              <w:tr2bl w:val="nil"/>
            </w:tcBorders>
            <w:noWrap w:val="0"/>
            <w:vAlign w:val="center"/>
          </w:tcPr>
          <w:p w14:paraId="418AF9C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2.维修人员维修时必须穿长袖衫、长裤、绝缘鞋，使用绝缘工具，严禁穿背心、短裤及不符合电气操作人员的服装，如金属丝钉的纽扣等。</w:t>
            </w:r>
          </w:p>
        </w:tc>
        <w:tc>
          <w:tcPr>
            <w:tcW w:w="576" w:type="dxa"/>
            <w:tcBorders>
              <w:tl2br w:val="nil"/>
              <w:tr2bl w:val="nil"/>
            </w:tcBorders>
            <w:noWrap w:val="0"/>
            <w:vAlign w:val="center"/>
          </w:tcPr>
          <w:p w14:paraId="0AB313A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restart"/>
            <w:tcBorders>
              <w:tl2br w:val="nil"/>
              <w:tr2bl w:val="nil"/>
            </w:tcBorders>
            <w:noWrap w:val="0"/>
            <w:vAlign w:val="center"/>
          </w:tcPr>
          <w:p w14:paraId="7EED1206">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default" w:asciiTheme="minorEastAsia" w:hAnsiTheme="minorEastAsia" w:eastAsiaTheme="minorEastAsia" w:cstheme="minorEastAsia"/>
                <w:b w:val="0"/>
                <w:bCs w:val="0"/>
                <w:sz w:val="21"/>
                <w:szCs w:val="21"/>
                <w:highlight w:val="none"/>
                <w:lang w:val="en-US" w:eastAsia="zh-CN"/>
              </w:rPr>
              <w:t>未按规定执行，</w:t>
            </w:r>
            <w:r>
              <w:rPr>
                <w:rFonts w:hint="eastAsia" w:asciiTheme="minorEastAsia" w:hAnsiTheme="minorEastAsia" w:cstheme="minorEastAsia"/>
                <w:b w:val="0"/>
                <w:bCs w:val="0"/>
                <w:sz w:val="21"/>
                <w:szCs w:val="21"/>
                <w:highlight w:val="none"/>
                <w:lang w:val="en-US" w:eastAsia="zh-CN"/>
              </w:rPr>
              <w:t>每</w:t>
            </w:r>
            <w:r>
              <w:rPr>
                <w:rFonts w:hint="default" w:asciiTheme="minorEastAsia" w:hAnsiTheme="minorEastAsia" w:eastAsiaTheme="minorEastAsia" w:cstheme="minorEastAsia"/>
                <w:b w:val="0"/>
                <w:bCs w:val="0"/>
                <w:sz w:val="21"/>
                <w:szCs w:val="21"/>
                <w:highlight w:val="none"/>
                <w:lang w:val="en-US" w:eastAsia="zh-CN"/>
              </w:rPr>
              <w:t>发现一次扣</w:t>
            </w:r>
            <w:r>
              <w:rPr>
                <w:rFonts w:hint="eastAsia" w:asciiTheme="minorEastAsia" w:hAnsiTheme="minorEastAsia" w:cstheme="minorEastAsia"/>
                <w:b w:val="0"/>
                <w:bCs w:val="0"/>
                <w:sz w:val="21"/>
                <w:szCs w:val="21"/>
                <w:highlight w:val="none"/>
                <w:lang w:val="en-US" w:eastAsia="zh-CN"/>
              </w:rPr>
              <w:t>1</w:t>
            </w:r>
            <w:r>
              <w:rPr>
                <w:rFonts w:hint="default" w:asciiTheme="minorEastAsia" w:hAnsiTheme="minorEastAsia" w:eastAsiaTheme="minorEastAsia" w:cstheme="minorEastAsia"/>
                <w:b w:val="0"/>
                <w:bCs w:val="0"/>
                <w:sz w:val="21"/>
                <w:szCs w:val="21"/>
                <w:highlight w:val="none"/>
                <w:lang w:val="en-US" w:eastAsia="zh-CN"/>
              </w:rPr>
              <w:t>分</w:t>
            </w:r>
            <w:r>
              <w:rPr>
                <w:rFonts w:hint="eastAsia" w:asciiTheme="minorEastAsia" w:hAnsiTheme="minorEastAsia" w:cstheme="minorEastAsia"/>
                <w:b w:val="0"/>
                <w:bCs w:val="0"/>
                <w:sz w:val="21"/>
                <w:szCs w:val="21"/>
                <w:highlight w:val="none"/>
                <w:lang w:val="en-US" w:eastAsia="zh-CN"/>
              </w:rPr>
              <w:t>。</w:t>
            </w:r>
          </w:p>
        </w:tc>
        <w:tc>
          <w:tcPr>
            <w:tcW w:w="584" w:type="dxa"/>
            <w:gridSpan w:val="2"/>
            <w:tcBorders>
              <w:tl2br w:val="nil"/>
              <w:tr2bl w:val="nil"/>
            </w:tcBorders>
            <w:noWrap w:val="0"/>
            <w:vAlign w:val="center"/>
          </w:tcPr>
          <w:p w14:paraId="6904AC8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7BE1811B">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627" w:type="dxa"/>
            <w:vMerge w:val="continue"/>
            <w:tcBorders>
              <w:tl2br w:val="nil"/>
              <w:tr2bl w:val="nil"/>
            </w:tcBorders>
            <w:noWrap w:val="0"/>
            <w:vAlign w:val="center"/>
          </w:tcPr>
          <w:p w14:paraId="01E156A8">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27042E25">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36131C06">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3.带点维修时，必须两人以上进行，一人监护，一人操作，防止触电、短路等事故的发生，严禁一人独立带电操作。</w:t>
            </w:r>
          </w:p>
        </w:tc>
        <w:tc>
          <w:tcPr>
            <w:tcW w:w="576" w:type="dxa"/>
            <w:tcBorders>
              <w:tl2br w:val="nil"/>
              <w:tr2bl w:val="nil"/>
            </w:tcBorders>
            <w:noWrap w:val="0"/>
            <w:vAlign w:val="center"/>
          </w:tcPr>
          <w:p w14:paraId="14617F21">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continue"/>
            <w:tcBorders>
              <w:tl2br w:val="nil"/>
              <w:tr2bl w:val="nil"/>
            </w:tcBorders>
            <w:noWrap w:val="0"/>
            <w:vAlign w:val="center"/>
          </w:tcPr>
          <w:p w14:paraId="573B746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3DB3005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41A30112">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627" w:type="dxa"/>
            <w:vMerge w:val="continue"/>
            <w:tcBorders>
              <w:tl2br w:val="nil"/>
              <w:tr2bl w:val="nil"/>
            </w:tcBorders>
            <w:noWrap w:val="0"/>
            <w:vAlign w:val="center"/>
          </w:tcPr>
          <w:p w14:paraId="4399392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56377D4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6B0F880C">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4.严禁带电挂拆地线，严禁带负荷拉合隔离开关。</w:t>
            </w:r>
          </w:p>
        </w:tc>
        <w:tc>
          <w:tcPr>
            <w:tcW w:w="576" w:type="dxa"/>
            <w:tcBorders>
              <w:tl2br w:val="nil"/>
              <w:tr2bl w:val="nil"/>
            </w:tcBorders>
            <w:noWrap w:val="0"/>
            <w:vAlign w:val="center"/>
          </w:tcPr>
          <w:p w14:paraId="6F39A8A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continue"/>
            <w:tcBorders>
              <w:tl2br w:val="nil"/>
              <w:tr2bl w:val="nil"/>
            </w:tcBorders>
            <w:noWrap w:val="0"/>
            <w:vAlign w:val="center"/>
          </w:tcPr>
          <w:p w14:paraId="54DDC0F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298A517F">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6D017999">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627" w:type="dxa"/>
            <w:vMerge w:val="continue"/>
            <w:tcBorders>
              <w:tl2br w:val="nil"/>
              <w:tr2bl w:val="nil"/>
            </w:tcBorders>
            <w:noWrap w:val="0"/>
            <w:vAlign w:val="center"/>
          </w:tcPr>
          <w:p w14:paraId="411D716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52442B4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199A01D7">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5</w:t>
            </w:r>
            <w:r>
              <w:rPr>
                <w:rFonts w:hint="eastAsia" w:asciiTheme="minorEastAsia" w:hAnsiTheme="minorEastAsia" w:cstheme="minorEastAsia"/>
                <w:b w:val="0"/>
                <w:bCs w:val="0"/>
                <w:i w:val="0"/>
                <w:iCs w:val="0"/>
                <w:color w:val="000000"/>
                <w:kern w:val="0"/>
                <w:sz w:val="24"/>
                <w:szCs w:val="24"/>
                <w:highlight w:val="none"/>
                <w:u w:val="none"/>
                <w:lang w:val="en-US" w:eastAsia="zh-CN" w:bidi="ar"/>
              </w:rPr>
              <w:t>.设备停电检修时，严格执行安全技术措施，停电、验电时须悬挂临时接电线，设临时遮拦，悬挂标示牌。</w:t>
            </w:r>
          </w:p>
        </w:tc>
        <w:tc>
          <w:tcPr>
            <w:tcW w:w="576" w:type="dxa"/>
            <w:tcBorders>
              <w:tl2br w:val="nil"/>
              <w:tr2bl w:val="nil"/>
            </w:tcBorders>
            <w:noWrap w:val="0"/>
            <w:vAlign w:val="center"/>
          </w:tcPr>
          <w:p w14:paraId="676AF992">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continue"/>
            <w:tcBorders>
              <w:tl2br w:val="nil"/>
              <w:tr2bl w:val="nil"/>
            </w:tcBorders>
            <w:noWrap w:val="0"/>
            <w:vAlign w:val="center"/>
          </w:tcPr>
          <w:p w14:paraId="3602EC8E">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383D3970">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73DC89CB">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4" w:hRule="atLeast"/>
        </w:trPr>
        <w:tc>
          <w:tcPr>
            <w:tcW w:w="627" w:type="dxa"/>
            <w:vMerge w:val="continue"/>
            <w:tcBorders>
              <w:tl2br w:val="nil"/>
              <w:tr2bl w:val="nil"/>
            </w:tcBorders>
            <w:noWrap w:val="0"/>
            <w:vAlign w:val="center"/>
          </w:tcPr>
          <w:p w14:paraId="3C545DD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7A301BD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76EA0FE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6、</w:t>
            </w:r>
            <w:r>
              <w:rPr>
                <w:rFonts w:hint="eastAsia" w:ascii="宋体" w:hAnsi="宋体" w:eastAsia="宋体" w:cs="宋体"/>
                <w:spacing w:val="-1"/>
                <w:sz w:val="24"/>
                <w:szCs w:val="24"/>
              </w:rPr>
              <w:t>房屋内外给排水系统的供水管路、排水管等设备设施的日常养护及维修</w:t>
            </w:r>
          </w:p>
        </w:tc>
        <w:tc>
          <w:tcPr>
            <w:tcW w:w="576" w:type="dxa"/>
            <w:tcBorders>
              <w:tl2br w:val="nil"/>
              <w:tr2bl w:val="nil"/>
            </w:tcBorders>
            <w:noWrap w:val="0"/>
            <w:vAlign w:val="center"/>
          </w:tcPr>
          <w:p w14:paraId="4CDFC4F2">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continue"/>
            <w:tcBorders>
              <w:tl2br w:val="nil"/>
              <w:tr2bl w:val="nil"/>
            </w:tcBorders>
            <w:noWrap w:val="0"/>
            <w:vAlign w:val="center"/>
          </w:tcPr>
          <w:p w14:paraId="2F59CA6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0B2A4E9E">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55A6074D">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4" w:hRule="atLeast"/>
        </w:trPr>
        <w:tc>
          <w:tcPr>
            <w:tcW w:w="627" w:type="dxa"/>
            <w:vMerge w:val="continue"/>
            <w:tcBorders>
              <w:tl2br w:val="nil"/>
              <w:tr2bl w:val="nil"/>
            </w:tcBorders>
            <w:noWrap w:val="0"/>
            <w:vAlign w:val="center"/>
          </w:tcPr>
          <w:p w14:paraId="0B23089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sz w:val="24"/>
                <w:szCs w:val="24"/>
              </w:rPr>
            </w:pPr>
          </w:p>
        </w:tc>
        <w:tc>
          <w:tcPr>
            <w:tcW w:w="823" w:type="dxa"/>
            <w:vMerge w:val="continue"/>
            <w:tcBorders>
              <w:tl2br w:val="nil"/>
              <w:tr2bl w:val="nil"/>
            </w:tcBorders>
            <w:noWrap w:val="0"/>
            <w:vAlign w:val="center"/>
          </w:tcPr>
          <w:p w14:paraId="74EB190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sz w:val="24"/>
                <w:szCs w:val="24"/>
              </w:rPr>
            </w:pPr>
          </w:p>
        </w:tc>
        <w:tc>
          <w:tcPr>
            <w:tcW w:w="6272" w:type="dxa"/>
            <w:gridSpan w:val="2"/>
            <w:tcBorders>
              <w:tl2br w:val="nil"/>
              <w:tr2bl w:val="nil"/>
            </w:tcBorders>
            <w:noWrap w:val="0"/>
            <w:vAlign w:val="center"/>
          </w:tcPr>
          <w:p w14:paraId="40F34E1C">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7.电气设备所有金属外壳要有可靠接地装置。</w:t>
            </w:r>
          </w:p>
        </w:tc>
        <w:tc>
          <w:tcPr>
            <w:tcW w:w="576" w:type="dxa"/>
            <w:tcBorders>
              <w:tl2br w:val="nil"/>
              <w:tr2bl w:val="nil"/>
            </w:tcBorders>
            <w:noWrap w:val="0"/>
            <w:vAlign w:val="center"/>
          </w:tcPr>
          <w:p w14:paraId="6EDCEEA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continue"/>
            <w:tcBorders>
              <w:tl2br w:val="nil"/>
              <w:tr2bl w:val="nil"/>
            </w:tcBorders>
            <w:noWrap w:val="0"/>
            <w:vAlign w:val="center"/>
          </w:tcPr>
          <w:p w14:paraId="12312AA6">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04970B1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508810E4">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4" w:hRule="atLeast"/>
        </w:trPr>
        <w:tc>
          <w:tcPr>
            <w:tcW w:w="627" w:type="dxa"/>
            <w:vMerge w:val="continue"/>
            <w:tcBorders>
              <w:tl2br w:val="nil"/>
              <w:tr2bl w:val="nil"/>
            </w:tcBorders>
            <w:noWrap w:val="0"/>
            <w:vAlign w:val="center"/>
          </w:tcPr>
          <w:p w14:paraId="08DD221F">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55940F1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11B38D5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8.高空作业时戴好安全帽，系好安全带，严禁在工作中上下抛掷工具材料和物品。确需上下传递，用吊绳和吊袋传送。高空工作的下方2米范围内不得堆放物品或易碎物品。</w:t>
            </w:r>
          </w:p>
        </w:tc>
        <w:tc>
          <w:tcPr>
            <w:tcW w:w="576" w:type="dxa"/>
            <w:tcBorders>
              <w:tl2br w:val="nil"/>
              <w:tr2bl w:val="nil"/>
            </w:tcBorders>
            <w:noWrap w:val="0"/>
            <w:vAlign w:val="center"/>
          </w:tcPr>
          <w:p w14:paraId="5E0BED55">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continue"/>
            <w:tcBorders>
              <w:tl2br w:val="nil"/>
              <w:tr2bl w:val="nil"/>
            </w:tcBorders>
            <w:noWrap w:val="0"/>
            <w:vAlign w:val="center"/>
          </w:tcPr>
          <w:p w14:paraId="1C5D3DE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5C17FF02">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19DA5DAE">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 w:hRule="atLeast"/>
        </w:trPr>
        <w:tc>
          <w:tcPr>
            <w:tcW w:w="627" w:type="dxa"/>
            <w:vMerge w:val="continue"/>
            <w:tcBorders>
              <w:tl2br w:val="nil"/>
              <w:tr2bl w:val="nil"/>
            </w:tcBorders>
            <w:noWrap w:val="0"/>
            <w:vAlign w:val="center"/>
          </w:tcPr>
          <w:p w14:paraId="58693A74">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1A7287F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33C7C55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9</w:t>
            </w:r>
            <w:r>
              <w:rPr>
                <w:rFonts w:hint="eastAsia" w:eastAsia="宋体" w:asciiTheme="minorEastAsia" w:hAnsiTheme="minorEastAsia" w:cstheme="minorEastAsia"/>
                <w:b w:val="0"/>
                <w:bCs w:val="0"/>
                <w:i w:val="0"/>
                <w:iCs w:val="0"/>
                <w:color w:val="000000"/>
                <w:kern w:val="0"/>
                <w:sz w:val="24"/>
                <w:szCs w:val="24"/>
                <w:u w:val="none"/>
                <w:lang w:val="en-US" w:eastAsia="zh-CN" w:bidi="ar"/>
              </w:rPr>
              <w:t>.</w:t>
            </w:r>
            <w:r>
              <w:rPr>
                <w:rFonts w:hint="eastAsia" w:ascii="宋体" w:hAnsi="宋体" w:eastAsia="宋体" w:cs="宋体"/>
                <w:spacing w:val="-1"/>
                <w:sz w:val="24"/>
                <w:szCs w:val="24"/>
              </w:rPr>
              <w:t>及时完成零修、小修，并做好检修维护记录</w:t>
            </w:r>
          </w:p>
        </w:tc>
        <w:tc>
          <w:tcPr>
            <w:tcW w:w="576" w:type="dxa"/>
            <w:tcBorders>
              <w:tl2br w:val="nil"/>
              <w:tr2bl w:val="nil"/>
            </w:tcBorders>
            <w:noWrap w:val="0"/>
            <w:vAlign w:val="center"/>
          </w:tcPr>
          <w:p w14:paraId="3DA4D270">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continue"/>
            <w:tcBorders>
              <w:tl2br w:val="nil"/>
              <w:tr2bl w:val="nil"/>
            </w:tcBorders>
            <w:noWrap w:val="0"/>
            <w:vAlign w:val="center"/>
          </w:tcPr>
          <w:p w14:paraId="01FBC57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4AAD9D0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4BE76BB5">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 w:hRule="atLeast"/>
        </w:trPr>
        <w:tc>
          <w:tcPr>
            <w:tcW w:w="627" w:type="dxa"/>
            <w:vMerge w:val="continue"/>
            <w:tcBorders>
              <w:tl2br w:val="nil"/>
              <w:tr2bl w:val="nil"/>
            </w:tcBorders>
            <w:noWrap w:val="0"/>
            <w:vAlign w:val="center"/>
          </w:tcPr>
          <w:p w14:paraId="6834252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sz w:val="24"/>
                <w:szCs w:val="24"/>
              </w:rPr>
            </w:pPr>
          </w:p>
        </w:tc>
        <w:tc>
          <w:tcPr>
            <w:tcW w:w="823" w:type="dxa"/>
            <w:vMerge w:val="continue"/>
            <w:tcBorders>
              <w:tl2br w:val="nil"/>
              <w:tr2bl w:val="nil"/>
            </w:tcBorders>
            <w:noWrap w:val="0"/>
            <w:vAlign w:val="center"/>
          </w:tcPr>
          <w:p w14:paraId="45F32500">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sz w:val="24"/>
                <w:szCs w:val="24"/>
              </w:rPr>
            </w:pPr>
          </w:p>
        </w:tc>
        <w:tc>
          <w:tcPr>
            <w:tcW w:w="6272" w:type="dxa"/>
            <w:gridSpan w:val="2"/>
            <w:tcBorders>
              <w:tl2br w:val="nil"/>
              <w:tr2bl w:val="nil"/>
            </w:tcBorders>
            <w:noWrap w:val="0"/>
            <w:vAlign w:val="center"/>
          </w:tcPr>
          <w:p w14:paraId="28A42612">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10.根据维修、改造实际情况，每半年修改一次存档的电子版/纸板图纸资料，使存档资料与现场状态保持一致。</w:t>
            </w:r>
          </w:p>
        </w:tc>
        <w:tc>
          <w:tcPr>
            <w:tcW w:w="576" w:type="dxa"/>
            <w:tcBorders>
              <w:tl2br w:val="nil"/>
              <w:tr2bl w:val="nil"/>
            </w:tcBorders>
            <w:noWrap w:val="0"/>
            <w:vAlign w:val="center"/>
          </w:tcPr>
          <w:p w14:paraId="55D855F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continue"/>
            <w:tcBorders>
              <w:tl2br w:val="nil"/>
              <w:tr2bl w:val="nil"/>
            </w:tcBorders>
            <w:noWrap w:val="0"/>
            <w:vAlign w:val="center"/>
          </w:tcPr>
          <w:p w14:paraId="5C812D77">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345BB762">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4E8D6B7D">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0" w:hRule="atLeast"/>
        </w:trPr>
        <w:tc>
          <w:tcPr>
            <w:tcW w:w="627" w:type="dxa"/>
            <w:vMerge w:val="restart"/>
            <w:tcBorders>
              <w:tl2br w:val="nil"/>
              <w:tr2bl w:val="nil"/>
            </w:tcBorders>
            <w:noWrap w:val="0"/>
            <w:vAlign w:val="center"/>
          </w:tcPr>
          <w:p w14:paraId="1523350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二</w:t>
            </w:r>
          </w:p>
        </w:tc>
        <w:tc>
          <w:tcPr>
            <w:tcW w:w="823" w:type="dxa"/>
            <w:vMerge w:val="restart"/>
            <w:tcBorders>
              <w:tl2br w:val="nil"/>
              <w:tr2bl w:val="nil"/>
            </w:tcBorders>
            <w:noWrap w:val="0"/>
            <w:vAlign w:val="center"/>
          </w:tcPr>
          <w:p w14:paraId="18953DBC">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snapToGrid w:val="0"/>
                <w:color w:val="000000"/>
                <w:spacing w:val="9"/>
                <w:w w:val="100"/>
                <w:kern w:val="0"/>
                <w:sz w:val="24"/>
                <w:szCs w:val="24"/>
                <w:lang w:val="en-US" w:eastAsia="en-US" w:bidi="ar-SA"/>
              </w:rPr>
              <w:t>交接班制</w:t>
            </w:r>
          </w:p>
        </w:tc>
        <w:tc>
          <w:tcPr>
            <w:tcW w:w="6272" w:type="dxa"/>
            <w:gridSpan w:val="2"/>
            <w:tcBorders>
              <w:tl2br w:val="nil"/>
              <w:tr2bl w:val="nil"/>
            </w:tcBorders>
            <w:noWrap w:val="0"/>
            <w:vAlign w:val="center"/>
          </w:tcPr>
          <w:p w14:paraId="327492A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eastAsia="宋体" w:asciiTheme="minorEastAsia" w:hAnsiTheme="minorEastAsia" w:cstheme="minorEastAsia"/>
                <w:b w:val="0"/>
                <w:bCs w:val="0"/>
                <w:i w:val="0"/>
                <w:iCs w:val="0"/>
                <w:color w:val="000000"/>
                <w:kern w:val="0"/>
                <w:sz w:val="24"/>
                <w:szCs w:val="24"/>
                <w:u w:val="none"/>
                <w:lang w:val="en-US" w:eastAsia="zh-CN" w:bidi="ar"/>
              </w:rPr>
            </w:pPr>
            <w:r>
              <w:rPr>
                <w:rFonts w:hint="eastAsia" w:eastAsia="宋体" w:asciiTheme="minorEastAsia" w:hAnsiTheme="minorEastAsia" w:cstheme="minorEastAsia"/>
                <w:b w:val="0"/>
                <w:bCs w:val="0"/>
                <w:i w:val="0"/>
                <w:iCs w:val="0"/>
                <w:color w:val="000000"/>
                <w:kern w:val="0"/>
                <w:sz w:val="24"/>
                <w:szCs w:val="24"/>
                <w:u w:val="none"/>
                <w:lang w:val="en-US" w:eastAsia="en-US" w:bidi="ar"/>
              </w:rPr>
              <w:t>1</w:t>
            </w:r>
            <w:r>
              <w:rPr>
                <w:rFonts w:hint="eastAsia" w:eastAsia="宋体" w:asciiTheme="minorEastAsia" w:hAnsiTheme="minorEastAsia" w:cstheme="minorEastAsia"/>
                <w:b w:val="0"/>
                <w:bCs w:val="0"/>
                <w:i w:val="0"/>
                <w:iCs w:val="0"/>
                <w:color w:val="000000"/>
                <w:kern w:val="0"/>
                <w:sz w:val="24"/>
                <w:szCs w:val="24"/>
                <w:u w:val="none"/>
                <w:lang w:val="en-US" w:eastAsia="zh-CN" w:bidi="ar"/>
              </w:rPr>
              <w:t>.</w:t>
            </w:r>
            <w:r>
              <w:rPr>
                <w:rFonts w:hint="eastAsia" w:eastAsia="宋体" w:asciiTheme="minorEastAsia" w:hAnsiTheme="minorEastAsia" w:cstheme="minorEastAsia"/>
                <w:b w:val="0"/>
                <w:bCs w:val="0"/>
                <w:i w:val="0"/>
                <w:iCs w:val="0"/>
                <w:color w:val="000000"/>
                <w:kern w:val="0"/>
                <w:sz w:val="24"/>
                <w:szCs w:val="24"/>
                <w:u w:val="none"/>
                <w:lang w:val="en-US" w:eastAsia="en-US" w:bidi="ar"/>
              </w:rPr>
              <w:t>接班人员应提前10分钟到岗接班，双方认为交接情况清楚无问题后，交接班方可结束。</w:t>
            </w:r>
          </w:p>
        </w:tc>
        <w:tc>
          <w:tcPr>
            <w:tcW w:w="576" w:type="dxa"/>
            <w:tcBorders>
              <w:tl2br w:val="nil"/>
              <w:tr2bl w:val="nil"/>
            </w:tcBorders>
            <w:noWrap w:val="0"/>
            <w:vAlign w:val="center"/>
          </w:tcPr>
          <w:p w14:paraId="14092551">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restart"/>
            <w:tcBorders>
              <w:tl2br w:val="nil"/>
              <w:tr2bl w:val="nil"/>
            </w:tcBorders>
            <w:noWrap w:val="0"/>
            <w:vAlign w:val="center"/>
          </w:tcPr>
          <w:p w14:paraId="45645A94">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r>
              <w:rPr>
                <w:rFonts w:hint="default" w:asciiTheme="minorEastAsia" w:hAnsiTheme="minorEastAsia" w:eastAsiaTheme="minorEastAsia" w:cstheme="minorEastAsia"/>
                <w:b w:val="0"/>
                <w:bCs w:val="0"/>
                <w:sz w:val="18"/>
                <w:szCs w:val="18"/>
                <w:highlight w:val="none"/>
                <w:lang w:val="en-US" w:eastAsia="zh-CN"/>
              </w:rPr>
              <w:t>未按规定执行，</w:t>
            </w:r>
            <w:r>
              <w:rPr>
                <w:rFonts w:hint="eastAsia" w:asciiTheme="minorEastAsia" w:hAnsiTheme="minorEastAsia" w:cstheme="minorEastAsia"/>
                <w:b w:val="0"/>
                <w:bCs w:val="0"/>
                <w:sz w:val="18"/>
                <w:szCs w:val="18"/>
                <w:highlight w:val="none"/>
                <w:lang w:val="en-US" w:eastAsia="zh-CN"/>
              </w:rPr>
              <w:t>每</w:t>
            </w:r>
            <w:r>
              <w:rPr>
                <w:rFonts w:hint="default" w:asciiTheme="minorEastAsia" w:hAnsiTheme="minorEastAsia" w:eastAsiaTheme="minorEastAsia" w:cstheme="minorEastAsia"/>
                <w:b w:val="0"/>
                <w:bCs w:val="0"/>
                <w:sz w:val="18"/>
                <w:szCs w:val="18"/>
                <w:highlight w:val="none"/>
                <w:lang w:val="en-US" w:eastAsia="zh-CN"/>
              </w:rPr>
              <w:t>发现一次扣</w:t>
            </w:r>
            <w:r>
              <w:rPr>
                <w:rFonts w:hint="eastAsia" w:asciiTheme="minorEastAsia" w:hAnsiTheme="minorEastAsia" w:cstheme="minorEastAsia"/>
                <w:b w:val="0"/>
                <w:bCs w:val="0"/>
                <w:sz w:val="18"/>
                <w:szCs w:val="18"/>
                <w:highlight w:val="none"/>
                <w:lang w:val="en-US" w:eastAsia="zh-CN"/>
              </w:rPr>
              <w:t>0.5</w:t>
            </w:r>
            <w:r>
              <w:rPr>
                <w:rFonts w:hint="default" w:asciiTheme="minorEastAsia" w:hAnsiTheme="minorEastAsia" w:eastAsiaTheme="minorEastAsia" w:cstheme="minorEastAsia"/>
                <w:b w:val="0"/>
                <w:bCs w:val="0"/>
                <w:sz w:val="18"/>
                <w:szCs w:val="18"/>
                <w:highlight w:val="none"/>
                <w:lang w:val="en-US" w:eastAsia="zh-CN"/>
              </w:rPr>
              <w:t>分</w:t>
            </w:r>
            <w:r>
              <w:rPr>
                <w:rFonts w:hint="eastAsia" w:asciiTheme="minorEastAsia" w:hAnsiTheme="minorEastAsia" w:cstheme="minorEastAsia"/>
                <w:b w:val="0"/>
                <w:bCs w:val="0"/>
                <w:sz w:val="18"/>
                <w:szCs w:val="18"/>
                <w:highlight w:val="none"/>
                <w:lang w:val="en-US" w:eastAsia="zh-CN"/>
              </w:rPr>
              <w:t>。</w:t>
            </w:r>
          </w:p>
        </w:tc>
        <w:tc>
          <w:tcPr>
            <w:tcW w:w="584" w:type="dxa"/>
            <w:gridSpan w:val="2"/>
            <w:tcBorders>
              <w:tl2br w:val="nil"/>
              <w:tr2bl w:val="nil"/>
            </w:tcBorders>
            <w:noWrap w:val="0"/>
            <w:vAlign w:val="center"/>
          </w:tcPr>
          <w:p w14:paraId="21F7CB75">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0B3D1209">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0" w:hRule="atLeast"/>
        </w:trPr>
        <w:tc>
          <w:tcPr>
            <w:tcW w:w="627" w:type="dxa"/>
            <w:vMerge w:val="continue"/>
            <w:tcBorders>
              <w:tl2br w:val="nil"/>
              <w:tr2bl w:val="nil"/>
            </w:tcBorders>
            <w:noWrap w:val="0"/>
            <w:vAlign w:val="center"/>
          </w:tcPr>
          <w:p w14:paraId="5DAD9A88">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73456A8C">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453FACA7">
            <w:pPr>
              <w:pStyle w:val="6"/>
              <w:keepNext w:val="0"/>
              <w:keepLines w:val="0"/>
              <w:pageBreakBefore w:val="0"/>
              <w:widowControl w:val="0"/>
              <w:suppressLineNumbers w:val="0"/>
              <w:kinsoku/>
              <w:wordWrap/>
              <w:overflowPunct/>
              <w:topLinePunct w:val="0"/>
              <w:autoSpaceDE/>
              <w:autoSpaceDN/>
              <w:bidi w:val="0"/>
              <w:adjustRightInd w:val="0"/>
              <w:snapToGrid w:val="0"/>
              <w:spacing w:line="520" w:lineRule="exact"/>
              <w:ind w:left="0" w:leftChars="0" w:firstLine="0" w:firstLineChars="0"/>
              <w:jc w:val="both"/>
              <w:textAlignment w:val="baseline"/>
              <w:outlineLvl w:val="9"/>
              <w:rPr>
                <w:rFonts w:hint="default" w:ascii="宋体" w:hAnsi="宋体" w:eastAsia="宋体" w:cs="宋体"/>
                <w:b w:val="0"/>
                <w:bCs w:val="0"/>
                <w:sz w:val="24"/>
                <w:szCs w:val="24"/>
                <w:highlight w:val="none"/>
                <w:lang w:val="en-US" w:eastAsia="zh-CN"/>
              </w:rPr>
            </w:pPr>
            <w:r>
              <w:rPr>
                <w:rFonts w:hint="eastAsia" w:cs="宋体"/>
                <w:b w:val="0"/>
                <w:bCs w:val="0"/>
                <w:sz w:val="24"/>
                <w:szCs w:val="24"/>
                <w:highlight w:val="none"/>
                <w:lang w:val="en-US" w:eastAsia="zh-CN"/>
              </w:rPr>
              <w:t>2</w:t>
            </w:r>
            <w:r>
              <w:rPr>
                <w:rFonts w:hint="eastAsia" w:eastAsia="宋体" w:asciiTheme="minorEastAsia" w:hAnsiTheme="minorEastAsia" w:cstheme="minorEastAsia"/>
                <w:b w:val="0"/>
                <w:bCs w:val="0"/>
                <w:i w:val="0"/>
                <w:iCs w:val="0"/>
                <w:color w:val="000000"/>
                <w:kern w:val="0"/>
                <w:sz w:val="24"/>
                <w:szCs w:val="24"/>
                <w:u w:val="none"/>
                <w:lang w:val="en-US" w:eastAsia="zh-CN" w:bidi="ar"/>
              </w:rPr>
              <w:t>.</w:t>
            </w:r>
            <w:r>
              <w:rPr>
                <w:rFonts w:hint="eastAsia" w:ascii="宋体" w:hAnsi="宋体" w:eastAsia="宋体" w:cs="宋体"/>
                <w:spacing w:val="-1"/>
                <w:sz w:val="24"/>
                <w:szCs w:val="24"/>
              </w:rPr>
              <w:t>确保设备、阀门、管道正常，无跑冒滴漏现象</w:t>
            </w:r>
          </w:p>
        </w:tc>
        <w:tc>
          <w:tcPr>
            <w:tcW w:w="576" w:type="dxa"/>
            <w:tcBorders>
              <w:tl2br w:val="nil"/>
              <w:tr2bl w:val="nil"/>
            </w:tcBorders>
            <w:noWrap w:val="0"/>
            <w:vAlign w:val="center"/>
          </w:tcPr>
          <w:p w14:paraId="2D462D9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5</w:t>
            </w:r>
          </w:p>
        </w:tc>
        <w:tc>
          <w:tcPr>
            <w:tcW w:w="860" w:type="dxa"/>
            <w:vMerge w:val="continue"/>
            <w:tcBorders>
              <w:tl2br w:val="nil"/>
              <w:tr2bl w:val="nil"/>
            </w:tcBorders>
            <w:noWrap w:val="0"/>
            <w:vAlign w:val="center"/>
          </w:tcPr>
          <w:p w14:paraId="2115288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1B8D631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0824B023">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80" w:hRule="atLeast"/>
        </w:trPr>
        <w:tc>
          <w:tcPr>
            <w:tcW w:w="627" w:type="dxa"/>
            <w:vMerge w:val="continue"/>
            <w:tcBorders>
              <w:tl2br w:val="nil"/>
              <w:tr2bl w:val="nil"/>
            </w:tcBorders>
            <w:noWrap w:val="0"/>
            <w:vAlign w:val="center"/>
          </w:tcPr>
          <w:p w14:paraId="3DE492E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5C10A9A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4C4DDA95">
            <w:pPr>
              <w:pStyle w:val="6"/>
              <w:keepNext w:val="0"/>
              <w:keepLines w:val="0"/>
              <w:pageBreakBefore w:val="0"/>
              <w:widowControl w:val="0"/>
              <w:suppressLineNumbers w:val="0"/>
              <w:kinsoku/>
              <w:wordWrap/>
              <w:overflowPunct/>
              <w:topLinePunct w:val="0"/>
              <w:autoSpaceDE/>
              <w:autoSpaceDN/>
              <w:bidi w:val="0"/>
              <w:adjustRightInd w:val="0"/>
              <w:snapToGrid w:val="0"/>
              <w:spacing w:line="520" w:lineRule="exact"/>
              <w:ind w:left="0" w:leftChars="0" w:firstLine="0" w:firstLineChars="0"/>
              <w:jc w:val="both"/>
              <w:textAlignment w:val="baseline"/>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snapToGrid w:val="0"/>
                <w:color w:val="000000"/>
                <w:spacing w:val="9"/>
                <w:w w:val="100"/>
                <w:kern w:val="0"/>
                <w:sz w:val="24"/>
                <w:szCs w:val="24"/>
                <w:lang w:val="en-US" w:eastAsia="en-US" w:bidi="ar-SA"/>
              </w:rPr>
              <w:t>3</w:t>
            </w:r>
            <w:r>
              <w:rPr>
                <w:rFonts w:hint="eastAsia" w:asciiTheme="minorEastAsia" w:hAnsiTheme="minorEastAsia" w:eastAsiaTheme="minorEastAsia" w:cstheme="minorEastAsia"/>
                <w:snapToGrid w:val="0"/>
                <w:color w:val="000000"/>
                <w:spacing w:val="9"/>
                <w:w w:val="100"/>
                <w:kern w:val="0"/>
                <w:sz w:val="24"/>
                <w:szCs w:val="24"/>
                <w:lang w:val="en-US" w:eastAsia="zh-CN" w:bidi="ar-SA"/>
              </w:rPr>
              <w:t>.</w:t>
            </w:r>
            <w:r>
              <w:rPr>
                <w:rFonts w:hint="eastAsia" w:asciiTheme="minorEastAsia" w:hAnsiTheme="minorEastAsia" w:eastAsiaTheme="minorEastAsia" w:cstheme="minorEastAsia"/>
                <w:snapToGrid w:val="0"/>
                <w:color w:val="000000"/>
                <w:spacing w:val="9"/>
                <w:w w:val="100"/>
                <w:kern w:val="0"/>
                <w:sz w:val="24"/>
                <w:szCs w:val="24"/>
                <w:lang w:val="en-US" w:eastAsia="en-US" w:bidi="ar-SA"/>
              </w:rPr>
              <w:t>认真填写好运行日志和本班工作小结，将交接班事项填写清楚，做到交接两清</w:t>
            </w:r>
          </w:p>
        </w:tc>
        <w:tc>
          <w:tcPr>
            <w:tcW w:w="576" w:type="dxa"/>
            <w:tcBorders>
              <w:tl2br w:val="nil"/>
              <w:tr2bl w:val="nil"/>
            </w:tcBorders>
            <w:noWrap w:val="0"/>
            <w:vAlign w:val="center"/>
          </w:tcPr>
          <w:p w14:paraId="0322AC0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5</w:t>
            </w:r>
          </w:p>
        </w:tc>
        <w:tc>
          <w:tcPr>
            <w:tcW w:w="860" w:type="dxa"/>
            <w:vMerge w:val="continue"/>
            <w:tcBorders>
              <w:tl2br w:val="nil"/>
              <w:tr2bl w:val="nil"/>
            </w:tcBorders>
            <w:noWrap w:val="0"/>
            <w:vAlign w:val="center"/>
          </w:tcPr>
          <w:p w14:paraId="28A122A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321C97E0">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rPr>
                <w:rFonts w:hint="eastAsia" w:ascii="宋体" w:hAnsi="宋体" w:eastAsia="宋体" w:cs="宋体"/>
                <w:b w:val="0"/>
                <w:bCs w:val="0"/>
                <w:sz w:val="24"/>
                <w:szCs w:val="24"/>
                <w:highlight w:val="none"/>
                <w:lang w:val="en-US" w:eastAsia="zh-CN"/>
              </w:rPr>
            </w:pPr>
          </w:p>
        </w:tc>
      </w:tr>
      <w:tr w14:paraId="5B84179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7722" w:type="dxa"/>
            <w:gridSpan w:val="4"/>
            <w:tcBorders>
              <w:tl2br w:val="nil"/>
              <w:tr2bl w:val="nil"/>
            </w:tcBorders>
            <w:noWrap w:val="0"/>
            <w:vAlign w:val="center"/>
          </w:tcPr>
          <w:p w14:paraId="0DC10DB2">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jc w:val="center"/>
              <w:textAlignment w:val="auto"/>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合   计</w:t>
            </w:r>
          </w:p>
        </w:tc>
        <w:tc>
          <w:tcPr>
            <w:tcW w:w="576" w:type="dxa"/>
            <w:tcBorders>
              <w:tl2br w:val="nil"/>
              <w:tr2bl w:val="nil"/>
            </w:tcBorders>
            <w:noWrap w:val="0"/>
            <w:vAlign w:val="center"/>
          </w:tcPr>
          <w:p w14:paraId="4735D246">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jc w:val="center"/>
              <w:textAlignment w:val="auto"/>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100</w:t>
            </w:r>
          </w:p>
        </w:tc>
        <w:tc>
          <w:tcPr>
            <w:tcW w:w="1444" w:type="dxa"/>
            <w:gridSpan w:val="3"/>
            <w:tcBorders>
              <w:tl2br w:val="nil"/>
              <w:tr2bl w:val="nil"/>
            </w:tcBorders>
            <w:noWrap w:val="0"/>
            <w:vAlign w:val="center"/>
          </w:tcPr>
          <w:p w14:paraId="6EF77046">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jc w:val="left"/>
              <w:textAlignment w:val="auto"/>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扣分：</w:t>
            </w:r>
          </w:p>
        </w:tc>
      </w:tr>
      <w:tr w14:paraId="5977B9A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10" w:type="dxa"/>
          <w:trHeight w:val="3487" w:hRule="atLeast"/>
        </w:trPr>
        <w:tc>
          <w:tcPr>
            <w:tcW w:w="9732" w:type="dxa"/>
            <w:gridSpan w:val="7"/>
            <w:tcBorders>
              <w:top w:val="single" w:color="auto" w:sz="8" w:space="0"/>
              <w:left w:val="single" w:color="auto" w:sz="8" w:space="0"/>
              <w:bottom w:val="single" w:color="auto" w:sz="8" w:space="0"/>
              <w:right w:val="single" w:color="auto" w:sz="8" w:space="0"/>
            </w:tcBorders>
            <w:noWrap w:val="0"/>
            <w:vAlign w:val="top"/>
          </w:tcPr>
          <w:p w14:paraId="09A0D82F">
            <w:pPr>
              <w:keepNext w:val="0"/>
              <w:keepLines w:val="0"/>
              <w:pageBreakBefore w:val="0"/>
              <w:widowControl w:val="0"/>
              <w:kinsoku/>
              <w:wordWrap/>
              <w:overflowPunct/>
              <w:topLinePunct w:val="0"/>
              <w:autoSpaceDE/>
              <w:autoSpaceDN/>
              <w:bidi w:val="0"/>
              <w:adjustRightInd w:val="0"/>
              <w:snapToGrid w:val="0"/>
              <w:spacing w:line="540" w:lineRule="exact"/>
              <w:ind w:firstLine="420" w:firstLineChars="200"/>
              <w:jc w:val="both"/>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1"/>
                <w:szCs w:val="21"/>
                <w:highlight w:val="none"/>
                <w:lang w:eastAsia="zh-CN"/>
              </w:rPr>
              <w:t>乙方</w:t>
            </w:r>
            <w:r>
              <w:rPr>
                <w:rFonts w:hint="eastAsia" w:ascii="宋体" w:hAnsi="宋体" w:eastAsia="宋体" w:cs="宋体"/>
                <w:b w:val="0"/>
                <w:bCs w:val="0"/>
                <w:sz w:val="21"/>
                <w:szCs w:val="21"/>
                <w:highlight w:val="none"/>
              </w:rPr>
              <w:t>确保现场工作人员严格遵守</w:t>
            </w:r>
            <w:r>
              <w:rPr>
                <w:rFonts w:hint="eastAsia" w:ascii="宋体" w:hAnsi="宋体" w:eastAsia="宋体" w:cs="宋体"/>
                <w:b w:val="0"/>
                <w:bCs w:val="0"/>
                <w:sz w:val="21"/>
                <w:szCs w:val="21"/>
                <w:highlight w:val="none"/>
                <w:lang w:eastAsia="zh-CN"/>
              </w:rPr>
              <w:t>甲方</w:t>
            </w:r>
            <w:r>
              <w:rPr>
                <w:rFonts w:hint="eastAsia" w:ascii="宋体" w:hAnsi="宋体" w:eastAsia="宋体" w:cs="宋体"/>
                <w:b w:val="0"/>
                <w:bCs w:val="0"/>
                <w:sz w:val="21"/>
                <w:szCs w:val="21"/>
                <w:highlight w:val="none"/>
              </w:rPr>
              <w:t>的相关纪律和制度，严禁无故脱岗，对日常服务等进行满意度测评打分，并建立台账。每</w:t>
            </w:r>
            <w:r>
              <w:rPr>
                <w:rFonts w:hint="eastAsia" w:ascii="宋体" w:hAnsi="宋体" w:eastAsia="宋体" w:cs="宋体"/>
                <w:b w:val="0"/>
                <w:bCs w:val="0"/>
                <w:sz w:val="21"/>
                <w:szCs w:val="21"/>
                <w:highlight w:val="none"/>
                <w:lang w:val="en-US" w:eastAsia="zh-CN"/>
              </w:rPr>
              <w:t>月</w:t>
            </w:r>
            <w:r>
              <w:rPr>
                <w:rFonts w:hint="eastAsia" w:ascii="宋体" w:hAnsi="宋体" w:eastAsia="宋体" w:cs="宋体"/>
                <w:b w:val="0"/>
                <w:bCs w:val="0"/>
                <w:sz w:val="21"/>
                <w:szCs w:val="21"/>
                <w:highlight w:val="none"/>
              </w:rPr>
              <w:t>为一个考核周期，</w:t>
            </w:r>
            <w:r>
              <w:rPr>
                <w:rFonts w:hint="eastAsia" w:ascii="宋体" w:hAnsi="宋体" w:eastAsia="宋体" w:cs="宋体"/>
                <w:b w:val="0"/>
                <w:bCs w:val="0"/>
                <w:sz w:val="21"/>
                <w:szCs w:val="21"/>
                <w:highlight w:val="none"/>
                <w:lang w:val="en-US" w:eastAsia="zh-CN"/>
              </w:rPr>
              <w:t>按</w:t>
            </w:r>
            <w:r>
              <w:rPr>
                <w:rFonts w:hint="eastAsia" w:ascii="宋体" w:hAnsi="宋体" w:cs="宋体"/>
                <w:b w:val="0"/>
                <w:bCs w:val="0"/>
                <w:sz w:val="21"/>
                <w:szCs w:val="21"/>
                <w:highlight w:val="none"/>
                <w:lang w:val="en-US" w:eastAsia="zh-CN"/>
              </w:rPr>
              <w:t>月</w:t>
            </w:r>
            <w:r>
              <w:rPr>
                <w:rFonts w:hint="eastAsia" w:ascii="宋体" w:hAnsi="宋体" w:eastAsia="宋体" w:cs="宋体"/>
                <w:b w:val="0"/>
                <w:bCs w:val="0"/>
                <w:sz w:val="21"/>
                <w:szCs w:val="21"/>
                <w:highlight w:val="none"/>
              </w:rPr>
              <w:t>结算</w:t>
            </w:r>
            <w:r>
              <w:rPr>
                <w:rFonts w:hint="eastAsia" w:ascii="宋体" w:hAnsi="宋体" w:cs="宋体"/>
                <w:b w:val="0"/>
                <w:bCs w:val="0"/>
                <w:sz w:val="21"/>
                <w:szCs w:val="21"/>
                <w:highlight w:val="none"/>
                <w:lang w:eastAsia="zh-CN"/>
              </w:rPr>
              <w:t>，</w:t>
            </w:r>
            <w:r>
              <w:rPr>
                <w:rFonts w:hint="eastAsia" w:ascii="宋体" w:hAnsi="宋体" w:cs="宋体"/>
                <w:b w:val="0"/>
                <w:bCs w:val="0"/>
                <w:sz w:val="21"/>
                <w:szCs w:val="21"/>
                <w:highlight w:val="none"/>
                <w:lang w:val="en-US" w:eastAsia="zh-CN"/>
              </w:rPr>
              <w:t>按年支付</w:t>
            </w:r>
            <w:r>
              <w:rPr>
                <w:rFonts w:hint="eastAsia" w:ascii="宋体" w:hAnsi="宋体" w:eastAsia="宋体" w:cs="宋体"/>
                <w:b w:val="0"/>
                <w:bCs w:val="0"/>
                <w:sz w:val="21"/>
                <w:szCs w:val="21"/>
                <w:highlight w:val="none"/>
              </w:rPr>
              <w:t>。考核得分在90-100分为优，全额支付</w:t>
            </w:r>
            <w:r>
              <w:rPr>
                <w:rFonts w:hint="eastAsia" w:ascii="宋体" w:hAnsi="宋体" w:cs="宋体"/>
                <w:b w:val="0"/>
                <w:bCs w:val="0"/>
                <w:sz w:val="21"/>
                <w:szCs w:val="21"/>
                <w:highlight w:val="none"/>
                <w:lang w:val="en-US" w:eastAsia="zh-CN"/>
              </w:rPr>
              <w:t>当期</w:t>
            </w:r>
            <w:r>
              <w:rPr>
                <w:rFonts w:hint="eastAsia" w:ascii="宋体" w:hAnsi="宋体" w:eastAsia="宋体" w:cs="宋体"/>
                <w:b w:val="0"/>
                <w:bCs w:val="0"/>
                <w:sz w:val="21"/>
                <w:szCs w:val="21"/>
                <w:highlight w:val="none"/>
              </w:rPr>
              <w:t>服务费；考核得分在80-89分为良好，扣</w:t>
            </w:r>
            <w:r>
              <w:rPr>
                <w:rFonts w:hint="eastAsia" w:ascii="宋体" w:hAnsi="宋体" w:cs="宋体"/>
                <w:b w:val="0"/>
                <w:bCs w:val="0"/>
                <w:sz w:val="21"/>
                <w:szCs w:val="21"/>
                <w:highlight w:val="none"/>
                <w:lang w:val="en-US" w:eastAsia="zh-CN"/>
              </w:rPr>
              <w:t>当期</w:t>
            </w:r>
            <w:r>
              <w:rPr>
                <w:rFonts w:hint="eastAsia" w:ascii="宋体" w:hAnsi="宋体" w:eastAsia="宋体" w:cs="宋体"/>
                <w:b w:val="0"/>
                <w:bCs w:val="0"/>
                <w:sz w:val="21"/>
                <w:szCs w:val="21"/>
                <w:highlight w:val="none"/>
              </w:rPr>
              <w:t>应付服务费的5%；考核得分在70-80分为一般，扣</w:t>
            </w:r>
            <w:r>
              <w:rPr>
                <w:rFonts w:hint="eastAsia" w:ascii="宋体" w:hAnsi="宋体" w:cs="宋体"/>
                <w:b w:val="0"/>
                <w:bCs w:val="0"/>
                <w:sz w:val="21"/>
                <w:szCs w:val="21"/>
                <w:highlight w:val="none"/>
                <w:lang w:val="en-US" w:eastAsia="zh-CN"/>
              </w:rPr>
              <w:t>当期</w:t>
            </w:r>
            <w:r>
              <w:rPr>
                <w:rFonts w:hint="eastAsia" w:ascii="宋体" w:hAnsi="宋体" w:eastAsia="宋体" w:cs="宋体"/>
                <w:b w:val="0"/>
                <w:bCs w:val="0"/>
                <w:sz w:val="21"/>
                <w:szCs w:val="21"/>
                <w:highlight w:val="none"/>
              </w:rPr>
              <w:t>应付服务费的10%；考核得分在70分以下为差，</w:t>
            </w:r>
            <w:r>
              <w:rPr>
                <w:rFonts w:hint="eastAsia" w:ascii="宋体" w:hAnsi="宋体" w:eastAsia="宋体" w:cs="宋体"/>
                <w:b w:val="0"/>
                <w:bCs w:val="0"/>
                <w:sz w:val="21"/>
                <w:szCs w:val="21"/>
                <w:highlight w:val="none"/>
                <w:lang w:eastAsia="zh-CN"/>
              </w:rPr>
              <w:t>甲方</w:t>
            </w:r>
            <w:r>
              <w:rPr>
                <w:rFonts w:hint="eastAsia" w:ascii="宋体" w:hAnsi="宋体" w:eastAsia="宋体" w:cs="宋体"/>
                <w:b w:val="0"/>
                <w:bCs w:val="0"/>
                <w:sz w:val="21"/>
                <w:szCs w:val="21"/>
                <w:highlight w:val="none"/>
              </w:rPr>
              <w:t>将要求</w:t>
            </w:r>
            <w:r>
              <w:rPr>
                <w:rFonts w:hint="eastAsia" w:ascii="宋体" w:hAnsi="宋体" w:eastAsia="宋体" w:cs="宋体"/>
                <w:b w:val="0"/>
                <w:bCs w:val="0"/>
                <w:sz w:val="21"/>
                <w:szCs w:val="21"/>
                <w:highlight w:val="none"/>
                <w:lang w:eastAsia="zh-CN"/>
              </w:rPr>
              <w:t>乙方</w:t>
            </w:r>
            <w:r>
              <w:rPr>
                <w:rFonts w:hint="eastAsia" w:ascii="宋体" w:hAnsi="宋体" w:eastAsia="宋体" w:cs="宋体"/>
                <w:b w:val="0"/>
                <w:bCs w:val="0"/>
                <w:sz w:val="21"/>
                <w:szCs w:val="21"/>
                <w:highlight w:val="none"/>
              </w:rPr>
              <w:t>对相关工作进行限期整改，整改后经随机抽查达到良好情形的，扣</w:t>
            </w:r>
            <w:r>
              <w:rPr>
                <w:rFonts w:hint="eastAsia" w:ascii="宋体" w:hAnsi="宋体" w:cs="宋体"/>
                <w:b w:val="0"/>
                <w:bCs w:val="0"/>
                <w:sz w:val="21"/>
                <w:szCs w:val="21"/>
                <w:highlight w:val="none"/>
                <w:lang w:val="en-US" w:eastAsia="zh-CN"/>
              </w:rPr>
              <w:t>当期</w:t>
            </w:r>
            <w:r>
              <w:rPr>
                <w:rFonts w:hint="eastAsia" w:ascii="宋体" w:hAnsi="宋体" w:eastAsia="宋体" w:cs="宋体"/>
                <w:b w:val="0"/>
                <w:bCs w:val="0"/>
                <w:sz w:val="21"/>
                <w:szCs w:val="21"/>
                <w:highlight w:val="none"/>
              </w:rPr>
              <w:t>应付服务费的15%；经过限期整改仍达不到良好情形的或拒不整改的，</w:t>
            </w:r>
            <w:r>
              <w:rPr>
                <w:rFonts w:hint="eastAsia" w:ascii="宋体" w:hAnsi="宋体" w:eastAsia="宋体" w:cs="宋体"/>
                <w:b w:val="0"/>
                <w:bCs w:val="0"/>
                <w:sz w:val="21"/>
                <w:szCs w:val="21"/>
                <w:highlight w:val="none"/>
                <w:lang w:eastAsia="zh-CN"/>
              </w:rPr>
              <w:t>甲方</w:t>
            </w:r>
            <w:r>
              <w:rPr>
                <w:rFonts w:hint="eastAsia" w:ascii="宋体" w:hAnsi="宋体" w:eastAsia="宋体" w:cs="宋体"/>
                <w:b w:val="0"/>
                <w:bCs w:val="0"/>
                <w:sz w:val="21"/>
                <w:szCs w:val="21"/>
                <w:highlight w:val="none"/>
              </w:rPr>
              <w:t>有权终止合同，</w:t>
            </w:r>
            <w:r>
              <w:rPr>
                <w:rFonts w:hint="eastAsia" w:ascii="宋体" w:hAnsi="宋体" w:eastAsia="宋体" w:cs="宋体"/>
                <w:b w:val="0"/>
                <w:bCs w:val="0"/>
                <w:sz w:val="21"/>
                <w:szCs w:val="21"/>
                <w:highlight w:val="none"/>
                <w:lang w:eastAsia="zh-CN"/>
              </w:rPr>
              <w:t>甲方</w:t>
            </w:r>
            <w:r>
              <w:rPr>
                <w:rFonts w:hint="eastAsia" w:ascii="宋体" w:hAnsi="宋体" w:eastAsia="宋体" w:cs="宋体"/>
                <w:b w:val="0"/>
                <w:bCs w:val="0"/>
                <w:sz w:val="21"/>
                <w:szCs w:val="21"/>
                <w:highlight w:val="none"/>
              </w:rPr>
              <w:t>相关损失由</w:t>
            </w:r>
            <w:r>
              <w:rPr>
                <w:rFonts w:hint="eastAsia" w:ascii="宋体" w:hAnsi="宋体" w:eastAsia="宋体" w:cs="宋体"/>
                <w:b w:val="0"/>
                <w:bCs w:val="0"/>
                <w:sz w:val="21"/>
                <w:szCs w:val="21"/>
                <w:highlight w:val="none"/>
                <w:lang w:eastAsia="zh-CN"/>
              </w:rPr>
              <w:t>乙方</w:t>
            </w:r>
            <w:r>
              <w:rPr>
                <w:rFonts w:hint="eastAsia" w:ascii="宋体" w:hAnsi="宋体" w:eastAsia="宋体" w:cs="宋体"/>
                <w:b w:val="0"/>
                <w:bCs w:val="0"/>
                <w:sz w:val="21"/>
                <w:szCs w:val="21"/>
                <w:highlight w:val="none"/>
              </w:rPr>
              <w:t>承担。</w:t>
            </w:r>
          </w:p>
        </w:tc>
      </w:tr>
      <w:tr w14:paraId="116D939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10" w:type="dxa"/>
          <w:trHeight w:val="3311" w:hRule="atLeast"/>
        </w:trPr>
        <w:tc>
          <w:tcPr>
            <w:tcW w:w="3257" w:type="dxa"/>
            <w:gridSpan w:val="3"/>
            <w:tcBorders>
              <w:top w:val="single" w:color="auto" w:sz="8" w:space="0"/>
              <w:left w:val="single" w:color="auto" w:sz="8" w:space="0"/>
              <w:bottom w:val="single" w:color="auto" w:sz="4" w:space="0"/>
              <w:right w:val="single" w:color="auto" w:sz="8" w:space="0"/>
            </w:tcBorders>
            <w:noWrap w:val="0"/>
            <w:vAlign w:val="top"/>
          </w:tcPr>
          <w:p w14:paraId="0A70A88A">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firstLine="0" w:firstLine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sz w:val="24"/>
                <w:szCs w:val="24"/>
                <w:highlight w:val="none"/>
                <w:lang w:val="en-US" w:eastAsia="zh-CN"/>
              </w:rPr>
              <w:t>检查人：</w:t>
            </w:r>
          </w:p>
        </w:tc>
        <w:tc>
          <w:tcPr>
            <w:tcW w:w="6475" w:type="dxa"/>
            <w:gridSpan w:val="4"/>
            <w:tcBorders>
              <w:top w:val="single" w:color="auto" w:sz="8" w:space="0"/>
              <w:left w:val="single" w:color="auto" w:sz="8" w:space="0"/>
              <w:bottom w:val="single" w:color="auto" w:sz="4" w:space="0"/>
              <w:right w:val="single" w:color="auto" w:sz="8" w:space="0"/>
            </w:tcBorders>
            <w:noWrap w:val="0"/>
            <w:vAlign w:val="top"/>
          </w:tcPr>
          <w:p w14:paraId="4CB80EB6">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firstLine="0" w:firstLineChars="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被考核单位确认签字盖章：</w:t>
            </w:r>
          </w:p>
        </w:tc>
      </w:tr>
    </w:tbl>
    <w:p w14:paraId="635DF9DA">
      <w:pPr>
        <w:keepNext w:val="0"/>
        <w:keepLines w:val="0"/>
        <w:pageBreakBefore w:val="0"/>
        <w:kinsoku/>
        <w:wordWrap/>
        <w:overflowPunct/>
        <w:topLinePunct w:val="0"/>
        <w:bidi w:val="0"/>
        <w:spacing w:line="560" w:lineRule="exact"/>
        <w:textAlignment w:val="auto"/>
        <w:outlineLvl w:val="9"/>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br w:type="page"/>
      </w:r>
    </w:p>
    <w:p w14:paraId="65B43266">
      <w:pPr>
        <w:pStyle w:val="2"/>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val="0"/>
          <w:bCs w:val="0"/>
          <w:color w:val="000000"/>
          <w:sz w:val="36"/>
          <w:szCs w:val="36"/>
        </w:rPr>
      </w:pPr>
      <w:r>
        <w:rPr>
          <w:rFonts w:hint="eastAsia" w:asciiTheme="minorEastAsia" w:hAnsiTheme="minorEastAsia" w:eastAsiaTheme="minorEastAsia" w:cstheme="minorEastAsia"/>
          <w:b w:val="0"/>
          <w:bCs w:val="0"/>
          <w:color w:val="000000"/>
          <w:sz w:val="36"/>
          <w:szCs w:val="36"/>
        </w:rPr>
        <w:t>第三部分</w:t>
      </w:r>
      <w:r>
        <w:rPr>
          <w:rFonts w:hint="eastAsia" w:asciiTheme="minorEastAsia" w:hAnsiTheme="minorEastAsia" w:eastAsiaTheme="minorEastAsia" w:cstheme="minorEastAsia"/>
          <w:b w:val="0"/>
          <w:bCs w:val="0"/>
          <w:color w:val="000000"/>
          <w:sz w:val="36"/>
          <w:szCs w:val="36"/>
          <w:lang w:val="en-US" w:eastAsia="zh-CN"/>
        </w:rPr>
        <w:t xml:space="preserve">  </w:t>
      </w:r>
      <w:r>
        <w:rPr>
          <w:rFonts w:hint="eastAsia" w:asciiTheme="minorEastAsia" w:hAnsiTheme="minorEastAsia" w:eastAsiaTheme="minorEastAsia" w:cstheme="minorEastAsia"/>
          <w:b w:val="0"/>
          <w:bCs w:val="0"/>
          <w:color w:val="000000"/>
          <w:sz w:val="36"/>
          <w:szCs w:val="36"/>
        </w:rPr>
        <w:t>供应商须知</w:t>
      </w:r>
    </w:p>
    <w:p w14:paraId="0BDF8DA0">
      <w:pPr>
        <w:pageBreakBefore w:val="0"/>
        <w:kinsoku/>
        <w:wordWrap/>
        <w:overflowPunct/>
        <w:topLinePunct w:val="0"/>
        <w:bidi w:val="0"/>
        <w:spacing w:line="560" w:lineRule="exact"/>
        <w:jc w:val="center"/>
        <w:textAlignment w:val="auto"/>
        <w:outlineLvl w:val="9"/>
        <w:rPr>
          <w:rFonts w:hint="eastAsia" w:asciiTheme="minorEastAsia" w:hAnsiTheme="minorEastAsia" w:eastAsiaTheme="minorEastAsia" w:cstheme="minorEastAsia"/>
          <w:b w:val="0"/>
          <w:bCs w:val="0"/>
          <w:color w:val="000000"/>
          <w:sz w:val="24"/>
          <w:szCs w:val="24"/>
          <w:lang w:val="en-US" w:eastAsia="zh-CN"/>
        </w:rPr>
      </w:pPr>
    </w:p>
    <w:p w14:paraId="146D8F3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一、总则</w:t>
      </w:r>
    </w:p>
    <w:p w14:paraId="592589A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（一）适用范围</w:t>
      </w:r>
    </w:p>
    <w:p w14:paraId="168C3E1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1、本询比采购文件仅适用于本次投标邀请函中所述张家口市桥东区“建发集团办公楼”综合维修服务工程服务项目的内容。</w:t>
      </w:r>
    </w:p>
    <w:p w14:paraId="5D9815B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2、资金来源：自筹。</w:t>
      </w:r>
    </w:p>
    <w:p w14:paraId="6E98EAF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（二）定义</w:t>
      </w:r>
    </w:p>
    <w:p w14:paraId="739F17C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1、“采购人”系张家口霖辉物业管理集团有限公司。</w:t>
      </w:r>
    </w:p>
    <w:p w14:paraId="37C9BC0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2、“供应商”系指参加本项目的投标单位，也称“投标人”。</w:t>
      </w:r>
    </w:p>
    <w:p w14:paraId="5783A84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3、“货物”系指供应商根据询比采购文件规定须向采购人提供的一切产品及服务。</w:t>
      </w:r>
    </w:p>
    <w:p w14:paraId="13C3B14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4、“签字”系指供应商根据询比采购文件规定，完成的书写事项，即必须用黑色碳素笔或钢笔书写完整姓名，并要求使用墨汁、蓝黑墨水、碳素墨水。不得用签名章、印签章代替。</w:t>
      </w:r>
    </w:p>
    <w:p w14:paraId="670E1EC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5、“公章”系参加本项目的投标人的正式印章，所刊名称，应为法定名称，不得用各式业务章或专用章代替。“加盖公章”系加盖鲜章，不得用各式复印章或扫描章代替。</w:t>
      </w:r>
    </w:p>
    <w:p w14:paraId="481D5E0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6、“复印件”系指相关资料原件的复制品或原件的扫描件。</w:t>
      </w:r>
    </w:p>
    <w:p w14:paraId="20364CC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（三）本次采购方式为询比采购。</w:t>
      </w:r>
    </w:p>
    <w:p w14:paraId="5C432B9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（四）合格的供应商</w:t>
      </w:r>
    </w:p>
    <w:p w14:paraId="66A57B5E">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1、合格供应商资格要求</w:t>
      </w:r>
    </w:p>
    <w:p w14:paraId="32EACD4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（1）供应商必须符合《中华人民共和国政府采购法》第二十二条的规定；</w:t>
      </w:r>
    </w:p>
    <w:p w14:paraId="0987A27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（2）具有安全保卫专业技术人员、设备、技术等方面相应的服务能力，具有良好的商业信誉；</w:t>
      </w:r>
    </w:p>
    <w:p w14:paraId="3A3F46D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（3）有效的企业营业执照副本、税务登记证副本、组织机构代码证副本（三证合一或五证合一的企业只需提供具有统一社会信用代码独立法人的营业执照副本）；</w:t>
      </w:r>
    </w:p>
    <w:p w14:paraId="36282C8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（4）银行开户许可证（或取消开户许可证的须提供基本存款账户银行备案资料）；</w:t>
      </w:r>
    </w:p>
    <w:p w14:paraId="229D461E">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（5）供应商参加本次政府采购活动前3年内无重大违法记录和政府采购严重违法失信行为的书面声明；</w:t>
      </w:r>
    </w:p>
    <w:p w14:paraId="7A6D6B5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投标人在“信用中国”（www.creditchina.gov.cn）系统中未被列入失信被执行人名单、重大税收违法案件当事人名单及政府采购严重违法失信名单；投标人在“中国政府采购网（www.ccgp.gov.cn）系统中未被列入政府采购严重违法失信行为记录名单（由采购人或者采购招标人将对投标人信用记录进行现场查询和甄别；</w:t>
      </w:r>
    </w:p>
    <w:p w14:paraId="737C6C9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（7）单位负责人为同一人或者存在直接控股、管理关系的不同投标人，不得参加同一合同项下的政府采购活动；</w:t>
      </w:r>
    </w:p>
    <w:p w14:paraId="1D0ED0D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（8）本项目不接受联合体投标。</w:t>
      </w:r>
    </w:p>
    <w:p w14:paraId="6554F47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2、知识产权和专利权</w:t>
      </w:r>
    </w:p>
    <w:p w14:paraId="57F2B8E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（1）供应商应保证，采购人在中华人民共和国接受供应商提供的货物时采购人免受第三方提出侵犯其专利权或其他知识产权的起诉；</w:t>
      </w:r>
    </w:p>
    <w:p w14:paraId="4E3F986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（2）投标价应包括所有应支付的对专利权和版权、设计或其他知识产权而需要向其他方支付的版税。</w:t>
      </w:r>
    </w:p>
    <w:p w14:paraId="38315E0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供应商知悉供应商将被视为已合理地尽可能地对所有影响项目的事项，包括任何与项目和采购人需求所列明的有关的特殊困难有了充分的了解。供应商必须对询比采购文件的商务条款逐项做出响应，否则按无效标书处理。</w:t>
      </w:r>
    </w:p>
    <w:p w14:paraId="59B9EC8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kern w:val="2"/>
          <w:sz w:val="24"/>
          <w:szCs w:val="24"/>
          <w:lang w:val="en-US" w:eastAsia="zh-CN" w:bidi="ar-SA"/>
        </w:rPr>
        <w:t>4、供应商应遵守《中华人民共和国政府采购法》、《中华人民共</w:t>
      </w:r>
      <w:r>
        <w:rPr>
          <w:rFonts w:hint="eastAsia" w:asciiTheme="minorEastAsia" w:hAnsiTheme="minorEastAsia" w:eastAsiaTheme="minorEastAsia" w:cstheme="minorEastAsia"/>
          <w:i w:val="0"/>
          <w:iCs w:val="0"/>
          <w:caps w:val="0"/>
          <w:color w:val="1F2329"/>
          <w:spacing w:val="0"/>
          <w:sz w:val="24"/>
          <w:szCs w:val="24"/>
          <w:shd w:val="clear" w:fill="FFFFFF"/>
        </w:rPr>
        <w:t>和国政府采购法实施条例》及其他相关法律、法规。</w:t>
      </w:r>
    </w:p>
    <w:p w14:paraId="05BC425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5、供应商必须向招标人购买询比采购文件并登记，未向招标人购买询比采购文件并登记的潜在供应商均无资格参加本次投标。</w:t>
      </w:r>
    </w:p>
    <w:p w14:paraId="78DBD51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（五）投标费用</w:t>
      </w:r>
    </w:p>
    <w:p w14:paraId="1C2A06A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1、供应商应自行承担所有与编制和提交询比采购投标文件有关的全部费用，不论投标结果如何，招标人和采购人在任何情况下均无义务和责任承担这些费用。</w:t>
      </w:r>
    </w:p>
    <w:p w14:paraId="2DD6BE2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2、踏勘现场</w:t>
      </w:r>
    </w:p>
    <w:p w14:paraId="361B57B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（1）采购人将不组织供应商进行踏勘现场，供应商如认为有必要可自行前往</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张家口市桥东区南站街道钻石南路丰泰风光苑4号办公楼项目</w:t>
      </w:r>
      <w:r>
        <w:rPr>
          <w:rFonts w:hint="eastAsia" w:asciiTheme="minorEastAsia" w:hAnsiTheme="minorEastAsia" w:eastAsiaTheme="minorEastAsia" w:cstheme="minorEastAsia"/>
          <w:i w:val="0"/>
          <w:iCs w:val="0"/>
          <w:caps w:val="0"/>
          <w:color w:val="1F2329"/>
          <w:spacing w:val="0"/>
          <w:sz w:val="24"/>
          <w:szCs w:val="24"/>
          <w:highlight w:val="none"/>
          <w:shd w:val="clear" w:fill="FFFFFF"/>
        </w:rPr>
        <w:t>所在地对</w:t>
      </w:r>
      <w:r>
        <w:rPr>
          <w:rFonts w:hint="eastAsia" w:asciiTheme="minorEastAsia" w:hAnsiTheme="minorEastAsia" w:eastAsiaTheme="minorEastAsia" w:cstheme="minorEastAsia"/>
          <w:i w:val="0"/>
          <w:iCs w:val="0"/>
          <w:caps w:val="0"/>
          <w:color w:val="1F2329"/>
          <w:spacing w:val="0"/>
          <w:sz w:val="24"/>
          <w:szCs w:val="24"/>
          <w:shd w:val="clear" w:fill="FFFFFF"/>
        </w:rPr>
        <w:t>项目现场及周围环境进行踏勘，以便获取自己负责的有关编制询比采购投标文件和签署合同所需的所有资料。踏勘现场所发生的费用由供应商自己承担。</w:t>
      </w:r>
    </w:p>
    <w:p w14:paraId="3738BEC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（2）采购人向供应商提供的有关项目的资料和数据，是采购人现有的能使供应商利用的资料。采购人对供应商由此而做出的推论、理解和结论概不负责。</w:t>
      </w:r>
    </w:p>
    <w:p w14:paraId="08E26A4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供应商及其人员经过采购人的允许，可为踏勘目的进入采购人的项目现场，但供应商及其人员不得因此使采购人及其人员承担有关的责任和蒙受损失。供应商并应对由此次踏勘现场而造成的死亡、人身伤害、财产损失、损害以及任何其它损失、损害和引起的费用和开支承担责任。</w:t>
      </w:r>
    </w:p>
    <w:p w14:paraId="443542DD">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二、询比采购文件</w:t>
      </w:r>
    </w:p>
    <w:p w14:paraId="55C7CED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（一）询比采购文件的构成（询比采购文件除以下内容外，采购人在招标期间发出的答疑纪要和其他补充修改函件，均是询比采购文件的组成部分，对投标供应商起约束作用）</w:t>
      </w:r>
    </w:p>
    <w:p w14:paraId="70EC858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1、投标邀请函</w:t>
      </w:r>
    </w:p>
    <w:p w14:paraId="4A9CDF9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2、招标项目内容及要求</w:t>
      </w:r>
    </w:p>
    <w:p w14:paraId="439111E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3、供应商须知</w:t>
      </w:r>
    </w:p>
    <w:p w14:paraId="0B878E4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4、合同范本</w:t>
      </w:r>
    </w:p>
    <w:p w14:paraId="7BB6940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5、询比采购投标文件格式</w:t>
      </w:r>
    </w:p>
    <w:p w14:paraId="21B3563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二）供应商同时应认真审阅询比采购文件中所有的事项、格式、条款和规范要求等，如果供应商的询比采购投标文件没有按照询比采购文件要求提交全部资料或者没有对询比采购文件做出实质性响应，其责任与风险应由投标供应商自行承担。并根据有关条款规定，其投标有可能被拒绝。</w:t>
      </w:r>
    </w:p>
    <w:p w14:paraId="2BDA00E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（三）询比采购文件的澄清</w:t>
      </w:r>
    </w:p>
    <w:p w14:paraId="7EE1846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1、供应商获取询比采购文件后，应仔细检查询比采购文件的所有内容，如有残缺应在获取询比采购文件后3日内向招标人提出，否则，由此引起的投标损失自负。</w:t>
      </w:r>
    </w:p>
    <w:p w14:paraId="49401AF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2、供应商在收到询比采购文件后，对询比采购文件任何部分若有任何疑问，任何要求澄清询比采购文件的供应商，均应在领到询比采购文件</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3</w:t>
      </w:r>
      <w:r>
        <w:rPr>
          <w:rFonts w:hint="eastAsia" w:asciiTheme="minorEastAsia" w:hAnsiTheme="minorEastAsia" w:eastAsiaTheme="minorEastAsia" w:cstheme="minorEastAsia"/>
          <w:i w:val="0"/>
          <w:iCs w:val="0"/>
          <w:caps w:val="0"/>
          <w:color w:val="1F2329"/>
          <w:spacing w:val="0"/>
          <w:sz w:val="24"/>
          <w:szCs w:val="24"/>
          <w:shd w:val="clear" w:fill="FFFFFF"/>
        </w:rPr>
        <w:t>个工作日内按投标邀请函中载明的地址以书面形式通知招标人。不论是采购人根据需要主动对询比采购文件进行必要的澄清或是根据供应商的要求对询比采购文件做出澄清，招标人将视情况，确定采用适当方式予以澄清或答复，并在认为必要时，将书面答复发给已购买询比采购文件的所有供应商。澄清记录作为询比采购文件的组成部分，对供应商起约束作用。3、供应商在规定时间未提交疑问的，视作默认对本次招标过程中询比采购文件或清单无疑问，采购人对其提出的问题可以不作解释。</w:t>
      </w:r>
    </w:p>
    <w:p w14:paraId="74C983E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（四）询比采购文件的修改</w:t>
      </w:r>
    </w:p>
    <w:p w14:paraId="6FD49AB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1、在投标截止日</w:t>
      </w:r>
      <w:r>
        <w:rPr>
          <w:rFonts w:hint="eastAsia" w:asciiTheme="minorEastAsia" w:hAnsiTheme="minorEastAsia" w:eastAsiaTheme="minorEastAsia" w:cstheme="minorEastAsia"/>
          <w:i w:val="0"/>
          <w:iCs w:val="0"/>
          <w:caps w:val="0"/>
          <w:color w:val="1F2329"/>
          <w:spacing w:val="0"/>
          <w:sz w:val="24"/>
          <w:szCs w:val="24"/>
          <w:highlight w:val="none"/>
          <w:shd w:val="clear" w:fill="FFFFFF"/>
        </w:rPr>
        <w:t>期</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3</w:t>
      </w:r>
      <w:r>
        <w:rPr>
          <w:rFonts w:hint="eastAsia" w:asciiTheme="minorEastAsia" w:hAnsiTheme="minorEastAsia" w:eastAsiaTheme="minorEastAsia" w:cstheme="minorEastAsia"/>
          <w:i w:val="0"/>
          <w:iCs w:val="0"/>
          <w:caps w:val="0"/>
          <w:color w:val="1F2329"/>
          <w:spacing w:val="0"/>
          <w:sz w:val="24"/>
          <w:szCs w:val="24"/>
          <w:highlight w:val="none"/>
          <w:shd w:val="clear" w:fill="FFFFFF"/>
        </w:rPr>
        <w:t>日</w:t>
      </w:r>
      <w:r>
        <w:rPr>
          <w:rFonts w:hint="eastAsia" w:asciiTheme="minorEastAsia" w:hAnsiTheme="minorEastAsia" w:eastAsiaTheme="minorEastAsia" w:cstheme="minorEastAsia"/>
          <w:i w:val="0"/>
          <w:iCs w:val="0"/>
          <w:caps w:val="0"/>
          <w:color w:val="1F2329"/>
          <w:spacing w:val="0"/>
          <w:sz w:val="24"/>
          <w:szCs w:val="24"/>
          <w:shd w:val="clear" w:fill="FFFFFF"/>
        </w:rPr>
        <w:t>之前的任何时候，招标人可主动或在解答供应商提出的澄清问题时对询比采购文件以补遗书的形式进行修改。</w:t>
      </w:r>
    </w:p>
    <w:p w14:paraId="750D8F9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2、询比采购文件的修改将以书面形式通知所有购买询比采购文件的供应商，并对其具有约束力。供应商在接到上述通知后，应立即向招标人回函确认。</w:t>
      </w:r>
    </w:p>
    <w:p w14:paraId="4138D0D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询比采购文件、询比采购文件澄清（答疑）记录、询比采购文件修改补充通知内容均以书面明确的内容为准。当询比采购文件、修改补充通知、澄清（答疑）记录内容相互矛盾时，以最后发出的通知（或纪要）或修改文件为准。</w:t>
      </w:r>
    </w:p>
    <w:p w14:paraId="6AB2D65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4、为使供应商编写询比采购投标文件时有充分时间对询比采购文件的修改部分进行研究，招标人可以酌情延后投标截止时间。</w:t>
      </w:r>
    </w:p>
    <w:p w14:paraId="7E050AC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三、询比采购投标文件的编制供应商应认真审阅本询比采购文件，并在接受全部条款内容后，方可参加投标。投标单位由于对询比采购文件的任何误解和忽略造成损失的责任，由供应商自己负责。供应商的询比采购投标文件应包括下列内容：</w:t>
      </w:r>
    </w:p>
    <w:p w14:paraId="00ADA65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（一）询比采购投标文件的语言供应商提交的询比采购投标文件以及与招标人和采购人就有关投标的所有来往函件均应使用简体中文。</w:t>
      </w:r>
    </w:p>
    <w:p w14:paraId="5E7C817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二）投标货币与计量单位本次投标用人民币报价。参加投标的企业，可根据本实际情况，充分考虑项目经营期间可能会遇到的市场风险等因素，进行报价参加投标。投标报价即为该项目的最终报价。询比采购文件中的所有计量单位和规格说明都是用中华人民共和国法定计量单位（国际单位制和国家选定的其他计量单位）表示。</w:t>
      </w:r>
    </w:p>
    <w:p w14:paraId="650313E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报价原则：</w:t>
      </w:r>
    </w:p>
    <w:p w14:paraId="313BDCD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kern w:val="2"/>
          <w:sz w:val="24"/>
          <w:szCs w:val="24"/>
          <w:shd w:val="clear" w:fill="FFFFFF"/>
          <w:lang w:val="en-US" w:eastAsia="zh-CN" w:bidi="ar-SA"/>
        </w:rPr>
        <w:t>1、</w:t>
      </w:r>
      <w:r>
        <w:rPr>
          <w:rFonts w:hint="eastAsia" w:asciiTheme="minorEastAsia" w:hAnsiTheme="minorEastAsia" w:eastAsiaTheme="minorEastAsia" w:cstheme="minorEastAsia"/>
          <w:i w:val="0"/>
          <w:iCs w:val="0"/>
          <w:caps w:val="0"/>
          <w:color w:val="1F2329"/>
          <w:spacing w:val="0"/>
          <w:sz w:val="24"/>
          <w:szCs w:val="24"/>
          <w:shd w:val="clear" w:fill="FFFFFF"/>
        </w:rPr>
        <w:t>供应商必须按本询比采购文件指定格式正确填写各种价格单；</w:t>
      </w:r>
    </w:p>
    <w:p w14:paraId="339279E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2、询比采购投标文件报价出现前后不一致的，按照下列规定修正：</w:t>
      </w:r>
    </w:p>
    <w:p w14:paraId="426E03E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（1）询比采购投标文件中报价表内容与询比采购投标文件中相应内容不一致的，以报价表为准;</w:t>
      </w:r>
    </w:p>
    <w:p w14:paraId="613CDEC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（2）大写金额和小写金额不一致的，以大写金额为准;</w:t>
      </w:r>
    </w:p>
    <w:p w14:paraId="32CB93B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（3）单价金额小数点或者百分比有明显错位的，以报价表的总价为准，并修改单价;</w:t>
      </w:r>
    </w:p>
    <w:p w14:paraId="4EBCCEC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总价金额与按单价汇总金额不一致的，以单价金额计算结果为准。同时出现两种以上不一致的，按照前款规定的顺序修正。修正后的报价由投标人以书面形式，并加盖公章，或者由法定代表人或其授权的代表签字确认后产生约束力，投标人不确认的，其投标无效。</w:t>
      </w:r>
    </w:p>
    <w:p w14:paraId="28F840A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3、所有报价均为交付采购人使用前（包括伴随服务）的价格。</w:t>
      </w:r>
    </w:p>
    <w:p w14:paraId="6FF95D5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（三）询比采购投标文件的构成供应商编写的询比采购投标文件应包括下列内容：</w:t>
      </w:r>
    </w:p>
    <w:p w14:paraId="20FF011E">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1、供应商诚信承诺书；</w:t>
      </w:r>
    </w:p>
    <w:p w14:paraId="29FE6CF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2、投标函；</w:t>
      </w:r>
    </w:p>
    <w:p w14:paraId="405F035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3、投标报价表；</w:t>
      </w:r>
    </w:p>
    <w:p w14:paraId="43673C7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4、服务响应偏离表；</w:t>
      </w:r>
    </w:p>
    <w:p w14:paraId="13258F8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5、供应商基本情况表；</w:t>
      </w:r>
    </w:p>
    <w:p w14:paraId="61117DD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6、项目实施方案；</w:t>
      </w:r>
    </w:p>
    <w:p w14:paraId="72DADAA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7、售后服务承诺书；</w:t>
      </w:r>
    </w:p>
    <w:p w14:paraId="27EFA54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8、其它（如有时）；</w:t>
      </w:r>
    </w:p>
    <w:p w14:paraId="4B1467A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9、供应商资格证明文件：</w:t>
      </w:r>
    </w:p>
    <w:p w14:paraId="062C7D2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A．企业营业执照副本、税务登记证副本(不需缴税的单位请提供税务部门出具的证明材料)、组织机构代码证副本（三证合一或五证合一的单位提供新版营业执照副本即可）复印件；</w:t>
      </w:r>
    </w:p>
    <w:p w14:paraId="2A87D1C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lang w:eastAsia="zh-CN"/>
        </w:rPr>
      </w:pPr>
      <w:r>
        <w:rPr>
          <w:rFonts w:hint="eastAsia" w:asciiTheme="minorEastAsia" w:hAnsiTheme="minorEastAsia" w:eastAsiaTheme="minorEastAsia" w:cstheme="minorEastAsia"/>
          <w:i w:val="0"/>
          <w:iCs w:val="0"/>
          <w:caps w:val="0"/>
          <w:color w:val="1F2329"/>
          <w:spacing w:val="0"/>
          <w:sz w:val="24"/>
          <w:szCs w:val="24"/>
          <w:shd w:val="clear" w:fill="FFFFFF"/>
        </w:rPr>
        <w:t>B．银行开户许可证（或取消开户许可证的须提供基本存款账户银行备案资料）；C．法定代表人身份证明书原件和授权委托书原件（法定代表人参加投标的，不需要提供授权委托书原件）；以上资格证明文件的复印件要求真实、准确、清晰并加盖本单位公章</w:t>
      </w:r>
      <w:r>
        <w:rPr>
          <w:rFonts w:hint="eastAsia" w:asciiTheme="minorEastAsia" w:hAnsiTheme="minorEastAsia" w:eastAsiaTheme="minorEastAsia" w:cstheme="minorEastAsia"/>
          <w:i w:val="0"/>
          <w:iCs w:val="0"/>
          <w:caps w:val="0"/>
          <w:color w:val="1F2329"/>
          <w:spacing w:val="0"/>
          <w:sz w:val="24"/>
          <w:szCs w:val="24"/>
          <w:shd w:val="clear" w:fill="FFFFFF"/>
          <w:lang w:eastAsia="zh-CN"/>
        </w:rPr>
        <w:t>。</w:t>
      </w:r>
    </w:p>
    <w:p w14:paraId="17C8637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10、供应商参加本次采购活动前3年内无重大违法记录和政府采购严重违法失信行为的书面声明；</w:t>
      </w:r>
    </w:p>
    <w:p w14:paraId="32DBFF8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11、投标人在“信用中国”（www.creditchina.gov.cn）系统中未被列入失信被执行人名单、重大税收违法案件当事人名单及政府采购严重违法失信名单；投标人在“中国政府采购网（www.ccgp.gov.cn）系统中未被列入政府采购严重违法失信行为记录名单由采购人或者采购招标人将对投标人信用记录进行现场查询和甄别。</w:t>
      </w:r>
    </w:p>
    <w:p w14:paraId="6E2DF91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（四）询比采购投标文件的式样和签署供应商必须严格按照询比采购文件的规定和格式编制询比采购投标文件，并逐项逐条回答询比采购文件所要求的内容，可以增加文字说明和描述，否则将视为无效投标。</w:t>
      </w:r>
    </w:p>
    <w:p w14:paraId="3F5A4F8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询比采购投标文件必须采用A4纸胶装成册，一律不得采用活页装订,必须胶装；询比采购投标文件必须编制目录，每一页均需编辑页号（封面、目录、封底、分隔页可以不编辑页号），中间不得多页、少页、空页。</w:t>
      </w:r>
    </w:p>
    <w:p w14:paraId="146FD37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2、询比采购投标文件正本应当按照询比采购文件规定格式盖章、签字。</w:t>
      </w:r>
    </w:p>
    <w:p w14:paraId="00768F1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3、询比采购投标文件共三套，其中纸质正本一套，副本一套，电子版一套（提供U盘）；询比采购投标文件的副本可采用正本的复印件，副本内容与正本不一致时以正本为准。</w:t>
      </w:r>
    </w:p>
    <w:p w14:paraId="5757738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4、询比采购投标文件应尽量避免涂改、行间插字或删除。如果出现上述情况，修改之处应加盖投标供应商单位公章并由投标供应商的法定代表人或其委托代理人签字确认。</w:t>
      </w:r>
    </w:p>
    <w:p w14:paraId="473EDF4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（五）询比采购投标文件有效期询比采购投标文件的有效期为60日。在特殊情况下，招标人可与供应商协商延长询比采购投标文件的有效期。</w:t>
      </w:r>
    </w:p>
    <w:p w14:paraId="4CB553CE">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四、询比采购投标文件的递交</w:t>
      </w:r>
    </w:p>
    <w:p w14:paraId="5D76889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（一）询比采购投标文件的密封和标记供应商应将纸质询比采购投标文件正本（壹套）和副本</w:t>
      </w:r>
      <w:r>
        <w:rPr>
          <w:rFonts w:hint="eastAsia" w:asciiTheme="minorEastAsia" w:hAnsiTheme="minorEastAsia" w:eastAsiaTheme="minorEastAsia" w:cstheme="minorEastAsia"/>
          <w:i w:val="0"/>
          <w:iCs w:val="0"/>
          <w:caps w:val="0"/>
          <w:color w:val="1F2329"/>
          <w:spacing w:val="0"/>
          <w:sz w:val="24"/>
          <w:szCs w:val="24"/>
          <w:highlight w:val="none"/>
          <w:shd w:val="clear" w:fill="FFFFFF"/>
        </w:rPr>
        <w:t>（壹套）</w:t>
      </w:r>
      <w:r>
        <w:rPr>
          <w:rFonts w:hint="eastAsia" w:asciiTheme="minorEastAsia" w:hAnsiTheme="minorEastAsia" w:eastAsiaTheme="minorEastAsia" w:cstheme="minorEastAsia"/>
          <w:i w:val="0"/>
          <w:iCs w:val="0"/>
          <w:caps w:val="0"/>
          <w:color w:val="1F2329"/>
          <w:spacing w:val="0"/>
          <w:sz w:val="24"/>
          <w:szCs w:val="24"/>
          <w:shd w:val="clear" w:fill="FFFFFF"/>
        </w:rPr>
        <w:t>胶装成册并与电子版询比采购投标文件（U盘外表面应当清楚标记单位名称）密封在同一个密封袋中（格式见询比采购文件第五部分）。将文件密封袋封面（格式见询比采购文件第五部分）粘贴在文件袋外，封贴处加盖清晰的公章及法人印章。如果未按上述规定进行密封和标记，招标人对询比采购投标文件不予接收，而且对询比采购投标文件的误投或提前拆封不负责任。</w:t>
      </w:r>
    </w:p>
    <w:p w14:paraId="731A92B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（二）询比采购投标文件有下列情形之一的，招标人不予受理：</w:t>
      </w:r>
    </w:p>
    <w:p w14:paraId="2E1BB21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1、超过投标截止时间送达或未送达指定地点的询比采购投标文件；</w:t>
      </w:r>
    </w:p>
    <w:p w14:paraId="2A6E0C0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2、未按询比采购文件要求予以标志和密封的询比采购投标文件。</w:t>
      </w:r>
    </w:p>
    <w:p w14:paraId="0C9AE82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五、开标与评标</w:t>
      </w:r>
    </w:p>
    <w:p w14:paraId="6E493C4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（一）开标</w:t>
      </w:r>
    </w:p>
    <w:p w14:paraId="4960EA5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招标人将在招标公告规定的时间和地点进行开标。投标人的法定代表人或其授权委托人应单独携带法定代表人身份证明书原件、授权委托书原件（法定代表人参加的不需提供授权书）及本人身份证原件签到以证明出席，否则</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采购人</w:t>
      </w:r>
      <w:r>
        <w:rPr>
          <w:rFonts w:hint="eastAsia" w:asciiTheme="minorEastAsia" w:hAnsiTheme="minorEastAsia" w:eastAsiaTheme="minorEastAsia" w:cstheme="minorEastAsia"/>
          <w:i w:val="0"/>
          <w:iCs w:val="0"/>
          <w:caps w:val="0"/>
          <w:color w:val="1F2329"/>
          <w:spacing w:val="0"/>
          <w:sz w:val="24"/>
          <w:szCs w:val="24"/>
          <w:shd w:val="clear" w:fill="FFFFFF"/>
        </w:rPr>
        <w:t>对其递交的询比采购投标文件不予接收。</w:t>
      </w:r>
    </w:p>
    <w:p w14:paraId="7D8FFAF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2、投标人不足3家的，不得开标。</w:t>
      </w:r>
    </w:p>
    <w:p w14:paraId="299CDC1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3、开标时，招标人工作人员当众拆封询比采购投标文件，宣布投标人名称、投标价格和询比采购文件规定的需要宣布的其他内容；</w:t>
      </w:r>
    </w:p>
    <w:p w14:paraId="42D3FF7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4、招标人做开标记录；</w:t>
      </w:r>
    </w:p>
    <w:p w14:paraId="2DD6771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5、采购人根据招标项目的特点依法组建评标委员会，经评标委员会成员推举产生评标委员会主任；</w:t>
      </w:r>
    </w:p>
    <w:p w14:paraId="6F960B5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6、评标纪律、评标原则和标准将在评标会议上宣布。</w:t>
      </w:r>
    </w:p>
    <w:p w14:paraId="72C6C1E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（二）评标</w:t>
      </w:r>
    </w:p>
    <w:p w14:paraId="1F72775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1、本招标项目的评标依据为询比采购文件和询比采购投标文件；</w:t>
      </w:r>
    </w:p>
    <w:p w14:paraId="6BC8698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2、供应商在评标过程中，所进行的力图影响评标结果、不符合评标办法的活动，将导致其被取消中标资格；</w:t>
      </w:r>
    </w:p>
    <w:p w14:paraId="2ACEC67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3、在评标过程中，评标委员会发现供应商以他人的名义投标、串通投标或者以其它弄虚作假方式投标的,该投标将作无效标处理；</w:t>
      </w:r>
    </w:p>
    <w:p w14:paraId="702D5A5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DD36B8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5、采购人按评审报告确定的中标候选人的顺序确定中标人；</w:t>
      </w:r>
    </w:p>
    <w:p w14:paraId="2D5180C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highlight w:val="none"/>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6、</w:t>
      </w:r>
      <w:r>
        <w:rPr>
          <w:rFonts w:hint="eastAsia" w:asciiTheme="minorEastAsia" w:hAnsiTheme="minorEastAsia" w:eastAsiaTheme="minorEastAsia" w:cstheme="minorEastAsia"/>
          <w:i w:val="0"/>
          <w:iCs w:val="0"/>
          <w:caps w:val="0"/>
          <w:color w:val="1F2329"/>
          <w:spacing w:val="0"/>
          <w:sz w:val="24"/>
          <w:szCs w:val="24"/>
          <w:highlight w:val="none"/>
          <w:shd w:val="clear" w:fill="FFFFFF"/>
        </w:rPr>
        <w:t>评标委员会5人组成，评标委员会组成人员为：项目业主单位主要负责人1人，分管项目副总1人，</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分管工程维修副总</w:t>
      </w:r>
      <w:r>
        <w:rPr>
          <w:rFonts w:hint="eastAsia" w:asciiTheme="minorEastAsia" w:hAnsiTheme="minorEastAsia" w:eastAsiaTheme="minorEastAsia" w:cstheme="minorEastAsia"/>
          <w:i w:val="0"/>
          <w:iCs w:val="0"/>
          <w:caps w:val="0"/>
          <w:color w:val="1F2329"/>
          <w:spacing w:val="0"/>
          <w:sz w:val="24"/>
          <w:szCs w:val="24"/>
          <w:highlight w:val="none"/>
          <w:shd w:val="clear" w:fill="FFFFFF"/>
        </w:rPr>
        <w:t>1人，分管部门负责人1人</w:t>
      </w:r>
      <w:r>
        <w:rPr>
          <w:rFonts w:hint="eastAsia" w:asciiTheme="minorEastAsia" w:hAnsiTheme="minorEastAsia" w:eastAsiaTheme="minorEastAsia" w:cstheme="minorEastAsia"/>
          <w:i w:val="0"/>
          <w:iCs w:val="0"/>
          <w:caps w:val="0"/>
          <w:color w:val="1F2329"/>
          <w:spacing w:val="0"/>
          <w:sz w:val="24"/>
          <w:szCs w:val="24"/>
          <w:highlight w:val="none"/>
          <w:shd w:val="clear" w:fill="FFFFFF"/>
          <w:lang w:eastAsia="zh-CN"/>
        </w:rPr>
        <w:t>，</w:t>
      </w:r>
      <w:r>
        <w:rPr>
          <w:rFonts w:hint="eastAsia" w:asciiTheme="minorEastAsia" w:hAnsiTheme="minorEastAsia" w:eastAsiaTheme="minorEastAsia" w:cstheme="minorEastAsia"/>
          <w:i w:val="0"/>
          <w:iCs w:val="0"/>
          <w:caps w:val="0"/>
          <w:color w:val="1F2329"/>
          <w:spacing w:val="0"/>
          <w:sz w:val="24"/>
          <w:szCs w:val="24"/>
          <w:highlight w:val="none"/>
          <w:shd w:val="clear" w:fill="FFFFFF"/>
        </w:rPr>
        <w:t>技术负责人1人。</w:t>
      </w:r>
    </w:p>
    <w:p w14:paraId="2E13831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7、评审纪律、评审原则和标准将在评审会议上宣布；</w:t>
      </w:r>
    </w:p>
    <w:p w14:paraId="44C31B0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8、评标委员会成员应当遵守评审工作纪律，不得泄露评审文件、评审情况和评审中获悉的商业秘密；评标委员会在评审过程中发现投标人有行贿、提供虚假材料或者串通等违法行为的，</w:t>
      </w:r>
      <w:r>
        <w:rPr>
          <w:rFonts w:hint="eastAsia" w:asciiTheme="minorEastAsia" w:hAnsiTheme="minorEastAsia" w:eastAsiaTheme="minorEastAsia" w:cstheme="minorEastAsia"/>
          <w:i w:val="0"/>
          <w:iCs w:val="0"/>
          <w:caps w:val="0"/>
          <w:color w:val="1F2329"/>
          <w:spacing w:val="0"/>
          <w:sz w:val="24"/>
          <w:szCs w:val="24"/>
          <w:highlight w:val="none"/>
          <w:shd w:val="clear" w:fill="FFFFFF"/>
        </w:rPr>
        <w:t>应当及时向</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建发纪检监察</w:t>
      </w:r>
      <w:r>
        <w:rPr>
          <w:rFonts w:hint="eastAsia" w:asciiTheme="minorEastAsia" w:hAnsiTheme="minorEastAsia" w:eastAsiaTheme="minorEastAsia" w:cstheme="minorEastAsia"/>
          <w:i w:val="0"/>
          <w:iCs w:val="0"/>
          <w:caps w:val="0"/>
          <w:color w:val="1F2329"/>
          <w:spacing w:val="0"/>
          <w:sz w:val="24"/>
          <w:szCs w:val="24"/>
          <w:highlight w:val="none"/>
          <w:shd w:val="clear" w:fill="FFFFFF"/>
        </w:rPr>
        <w:t>部门报告。</w:t>
      </w:r>
    </w:p>
    <w:p w14:paraId="5536FA6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9、评标委员会成员应当按照客观、公正、审慎的原则，根据询比采购文件规定的评审程序、评审方法和评审标准进行独立评审。未实质性响应询比采购文件的询比采购投标文件按无效投标处理，评标委员会应当告知提交询比采购投标文件的投标人；</w:t>
      </w:r>
    </w:p>
    <w:p w14:paraId="636E439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10、评标委员会成员应当在评审报告上签字，对自己的评审意见承担法律责任。对评审报告有异议的，应当在评审报告上签署不同意见，并说明理由，否则视为同意评审报告；</w:t>
      </w:r>
    </w:p>
    <w:p w14:paraId="5890531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11、询比采购文件内容违反国家有关强制性规定的，评标委员会应当停止评审并向采购人或者采购招标人说明情况；</w:t>
      </w:r>
    </w:p>
    <w:p w14:paraId="08ED395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12、采购人、采购招标人不得向评标委员会的评审专家作倾向性、误导性的解释或者说明；</w:t>
      </w:r>
    </w:p>
    <w:p w14:paraId="7AA0106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13、政府采购评审专家应当配合采购人或者采购招标人答复投标人的询问和质疑。</w:t>
      </w:r>
    </w:p>
    <w:p w14:paraId="1BFCAF4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（三）询比采购投标文件的审查</w:t>
      </w:r>
    </w:p>
    <w:p w14:paraId="4ED0C0D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资格审查采购人或者采购招标人应当依法对投标人询比采购投标文件中的资格证明等进行审查，以确定投标人是否具备投标资格。不满足“资格性审查响应对照表”其中一项的，其递交的询比采购投标文件视为无效，合格的询比采购投标文件将进入下一步评审，合格投标人不足3家的，不进入评标环节。</w:t>
      </w:r>
    </w:p>
    <w:p w14:paraId="17818A7B">
      <w:pPr>
        <w:keepNext w:val="0"/>
        <w:keepLines w:val="0"/>
        <w:pageBreakBefore w:val="0"/>
        <w:widowControl/>
        <w:kinsoku/>
        <w:wordWrap/>
        <w:overflowPunct/>
        <w:topLinePunct w:val="0"/>
        <w:bidi w:val="0"/>
        <w:spacing w:line="560" w:lineRule="exact"/>
        <w:ind w:firstLine="480" w:firstLineChars="20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资格性审查响应对照表</w:t>
      </w:r>
    </w:p>
    <w:tbl>
      <w:tblPr>
        <w:tblStyle w:val="1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5509"/>
        <w:gridCol w:w="2115"/>
        <w:gridCol w:w="746"/>
      </w:tblGrid>
      <w:tr w14:paraId="5C93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7C675FF8">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序号</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796B17BE">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资格审查标准</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0720C179">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合格标准</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54F80E9C">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备注</w:t>
            </w:r>
          </w:p>
        </w:tc>
      </w:tr>
      <w:tr w14:paraId="1C39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4BB9E280">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172284FB">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有效的企业营业执照副本、税务登记证副本、组织机构代码证副本（三证合一或五证合一的企业只需提供具有统一社会信用代码独立法人的营业执照副本）</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672BC1A4">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真实、有效、完整</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7C757BD3">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37E2F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4789DE28">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01B4A751">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银行开户许可证（或取消开户许可证的须提供基本存款账户银行备案资料）</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395DAB9C">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真实、有效、完整</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498AADEE">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142C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210ED449">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3</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160DE0EC">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法定代表人身份证明书原件和授权委托书原件（法定代表人参加投标的，不需要提供授权委托书原件）</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538773A1">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真实、有效、完整</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741728B6">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0D82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5EE4D10C">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4</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3F2DC350">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参加政府采购前3年内无重大违法记录书面声明</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43A2EAFA">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真实、有效、完整</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53287BB2">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6D8A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2DF516AD">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5</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194D3E33">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投标人在“信用中国”（www.creditchina.gov.cn）系统中未被列入失信被执行人名单、重大税收违法案件当事人名单及政府采购严重违法失信名单；投标人在“中国政府采购网（www.ccgp.gov.cn）系统中未被列入政府采购严重违法失信行为记录名单</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114D7E9F">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由采购人或者采购招标人将对投标人信用记录进行现场查询和甄别</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293485CD">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061D3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532DFF45">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6</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1F0DB427">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kern w:val="0"/>
                <w:sz w:val="24"/>
                <w:szCs w:val="24"/>
                <w:lang w:bidi="ar"/>
              </w:rPr>
              <w:t>供应商诚信承诺书</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48785DCC">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kern w:val="0"/>
                <w:sz w:val="24"/>
                <w:szCs w:val="24"/>
                <w:lang w:bidi="ar"/>
              </w:rPr>
              <w:t>按照询比采购文件格式提供并加盖单位公章，经法定代表人签字或授权委托人签字</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07DCCEFF">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bl>
    <w:p w14:paraId="2961E9D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kern w:val="2"/>
          <w:sz w:val="24"/>
          <w:szCs w:val="24"/>
          <w:shd w:val="clear" w:fill="FFFFFF"/>
          <w:lang w:val="en-US" w:eastAsia="zh-CN" w:bidi="ar-SA"/>
        </w:rPr>
        <w:t>2、</w:t>
      </w:r>
      <w:r>
        <w:rPr>
          <w:rFonts w:hint="eastAsia" w:asciiTheme="minorEastAsia" w:hAnsiTheme="minorEastAsia" w:eastAsiaTheme="minorEastAsia" w:cstheme="minorEastAsia"/>
          <w:i w:val="0"/>
          <w:iCs w:val="0"/>
          <w:caps w:val="0"/>
          <w:color w:val="1F2329"/>
          <w:spacing w:val="0"/>
          <w:sz w:val="24"/>
          <w:szCs w:val="24"/>
          <w:shd w:val="clear" w:fill="FFFFFF"/>
        </w:rPr>
        <w:t>符合性审查</w:t>
      </w:r>
    </w:p>
    <w:p w14:paraId="0510961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评标委员会应当对符合资格的投标人的询比采购投标文件进行符合性审查，以确定其是否满足询比采购文件的实质性要求。</w:t>
      </w:r>
    </w:p>
    <w:p w14:paraId="6309997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评标委员会审查所有询比采购投标文件是否实质上响应并符合询比采购文件要求的全部条款、条件和规格。评标委员会决定询比采购投标文件的实质响应性只根据询比采购投标文件本身的内容，而不寻求外部的证据。如果询比采购投标文件实质上没有响应询比采购文件的要求，评标委员会将予以拒绝，投标人不得通过修正或撤销不合要求的偏离或保留从而使其询比采购投标文件成为实质上的询比采购投标文件。</w:t>
      </w:r>
    </w:p>
    <w:p w14:paraId="545B91C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对于询比采购投标文件中含义不明确、同类问题表述不一致或者有明显文字和计算错误的内容，评标委员会应当以书面形式要求投标人作出必要的澄清、说明或者补正。</w:t>
      </w:r>
    </w:p>
    <w:p w14:paraId="33FA9C6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投标人的澄清、说明或者补正应当采用书面形式，并由法定代表人或其授权的代表签字。投标人的澄清、说明或者补正不得超出询比采购投标文件的范围或者改变询比采购投标文件的实质性内容。</w:t>
      </w:r>
    </w:p>
    <w:p w14:paraId="2A53EB5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参与资格后审的投标人的询比采购投标文件按下表中所要求的资料进行符合性审查。不满足“符合性审查响应对照表”其中一项的或询比采购投标文件中含有采购人不能接受的附加条件的，由评标委员会评审不予通过，合格的询比采购投标文件将进入下一步评审：</w:t>
      </w:r>
    </w:p>
    <w:p w14:paraId="259FFAF8">
      <w:pPr>
        <w:keepNext w:val="0"/>
        <w:keepLines w:val="0"/>
        <w:pageBreakBefore w:val="0"/>
        <w:widowControl/>
        <w:kinsoku/>
        <w:wordWrap/>
        <w:overflowPunct/>
        <w:topLinePunct w:val="0"/>
        <w:bidi w:val="0"/>
        <w:spacing w:line="560" w:lineRule="exact"/>
        <w:ind w:firstLine="480" w:firstLineChars="20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符合性审查响应对照表</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514"/>
        <w:gridCol w:w="2452"/>
        <w:gridCol w:w="4496"/>
      </w:tblGrid>
      <w:tr w14:paraId="5D4C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1606D525">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序号</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118703F7">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资格评审标准</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5AF8F9EC">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合格标准</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41D26FC0">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备注</w:t>
            </w:r>
          </w:p>
        </w:tc>
      </w:tr>
      <w:tr w14:paraId="73906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135C5EC7">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3DF2286E">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投标函</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4290D547">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按照询比采购文件格式提供并加盖单位公章，经法定代表人签字或授权委托人签字</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47AA93CE">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7103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4C9BE5A9">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1AC7BA0D">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投标报价表</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7F211E61">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0"/>
                <w:sz w:val="24"/>
                <w:szCs w:val="24"/>
                <w:lang w:bidi="ar"/>
              </w:rPr>
              <w:t>投标报价小于等于采购预算</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487BD08B">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highlight w:val="green"/>
              </w:rPr>
            </w:pPr>
            <w:r>
              <w:rPr>
                <w:rFonts w:hint="eastAsia" w:asciiTheme="minorEastAsia" w:hAnsiTheme="minorEastAsia" w:eastAsiaTheme="minorEastAsia" w:cstheme="minorEastAsia"/>
                <w:kern w:val="0"/>
                <w:sz w:val="24"/>
                <w:szCs w:val="24"/>
                <w:lang w:bidi="ar"/>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32F71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2E40AD00">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40C2F3F7">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询比采购投标文件的式样和签署</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7DC940BB">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符合询比采购文件中询比采购投标文件的式样和签署要求</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035746E3">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1417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5981D157">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0E7D75DE">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技术参数响应及偏离表</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6A7E4CC8">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按询比采购文件要求格式提供，投标人技术指标、参数满足询比采购文件中货物技术规格及要求规定的相应技术指标、参数的</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1AAEC7EB">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756E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0A36C454">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643DB430">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询比采购投标文件中提供的其他资料”和货物技术规格及要求、商务条款</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16F2EAF1">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满足或优于询比采购文件相关要求</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3EAAE10D">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2B01A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6B013763">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61F88AEA">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法律、法规和询比采购文件规定的其他无效情形的</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0809C015">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满足或优于法律、法规和询比采购文件相关要求</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2D7D876F">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bl>
    <w:p w14:paraId="4B308A4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kern w:val="2"/>
          <w:sz w:val="24"/>
          <w:szCs w:val="24"/>
          <w:shd w:val="clear" w:fill="FFFFFF"/>
          <w:lang w:val="en-US" w:eastAsia="zh-CN" w:bidi="ar-SA"/>
        </w:rPr>
        <w:t>（四）</w:t>
      </w:r>
      <w:r>
        <w:rPr>
          <w:rFonts w:hint="eastAsia" w:asciiTheme="minorEastAsia" w:hAnsiTheme="minorEastAsia" w:eastAsiaTheme="minorEastAsia" w:cstheme="minorEastAsia"/>
          <w:i w:val="0"/>
          <w:iCs w:val="0"/>
          <w:caps w:val="0"/>
          <w:color w:val="1F2329"/>
          <w:spacing w:val="0"/>
          <w:sz w:val="24"/>
          <w:szCs w:val="24"/>
          <w:shd w:val="clear" w:fill="FFFFFF"/>
        </w:rPr>
        <w:t>有下列情形之一的，视为投标人串通投标，其投标无效：</w:t>
      </w:r>
    </w:p>
    <w:p w14:paraId="7CD4E26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1、不同投标人的询比采购投标文件由同一单位或者个人编制；</w:t>
      </w:r>
    </w:p>
    <w:p w14:paraId="759DDE4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2、不同投标人委托同一单位或者个人办理投标事宜；</w:t>
      </w:r>
    </w:p>
    <w:p w14:paraId="7435390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3、不同投标人的询比采购投标文件载明的项目管理成员或者联系人员为同一人；</w:t>
      </w:r>
    </w:p>
    <w:p w14:paraId="70A2C65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4、不同投标人的询比采购投标文件异常一致或者投标报价呈规律性差异；</w:t>
      </w:r>
    </w:p>
    <w:p w14:paraId="51237DC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5、不同投标人的询比采购投标文件相互混装；</w:t>
      </w:r>
    </w:p>
    <w:p w14:paraId="2DB7B6A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6、不同投标人的投标保证金从同一单位或者个人的账户转出。</w:t>
      </w:r>
    </w:p>
    <w:p w14:paraId="018731D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五）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0924CCE">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六、评分方法—综合评分法评标委员会对所有供应商的所投项目内容响应程度、售后服务、价格因素及其他情况进行综合审查，以确定其是否实质性响应询比采购文件。根据评分标准，采用综合评分法进行评分，按综合得分高低排序并推荐前三名预中标候选人，询比采购投标文件满足询比采购文件全部实质性要求，且按照评审因素的量化指标评审得分最高的投标人为排名第一的中标候选人,各专家的评分的算术平均值，即为该单位的综合得分。</w:t>
      </w:r>
    </w:p>
    <w:p w14:paraId="69A433A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如出现综合得分第一并列的情形（得分最高的投标单位有两家），应当将投标报价较低的推荐为第一中标候选人，投标报价较高推荐为第二中标候选人；如综合得分第二遇到并列情形，以此类推。</w:t>
      </w:r>
    </w:p>
    <w:p w14:paraId="57E6C59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如出现综合得分第一并列（得分最高的投标单位有两家）且报价也相同的情形，应当将“技术标响应情况（技术指标、参数）”得分较高的推荐为第一中标候选人，该项得分较低推荐为第二中标候选人；如出现综合得分第二并列且报价也相同的情形，以此类推。</w:t>
      </w:r>
    </w:p>
    <w:p w14:paraId="3713CB2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如出现提供相同品牌产品且通过资格审查、符合性审查的不同投标人参加本项目投标情形的，按一家投标人计算，评审后得分最高的同品牌投标人获得中标人推荐资格；评审得分相同的，将由报价最低的投标人获得中标人推荐资格，其他同品牌投标人不作为中标候选人。</w:t>
      </w:r>
    </w:p>
    <w:p w14:paraId="39F931BE">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i w:val="0"/>
          <w:iCs w:val="0"/>
          <w:caps w:val="0"/>
          <w:color w:val="1F2329"/>
          <w:spacing w:val="0"/>
          <w:sz w:val="24"/>
          <w:szCs w:val="24"/>
          <w:highlight w:val="none"/>
          <w:shd w:val="clear" w:fill="FFFFFF"/>
        </w:rPr>
      </w:pPr>
      <w:r>
        <w:rPr>
          <w:rFonts w:hint="eastAsia" w:asciiTheme="minorEastAsia" w:hAnsiTheme="minorEastAsia" w:eastAsiaTheme="minorEastAsia" w:cstheme="minorEastAsia"/>
          <w:b/>
          <w:bCs/>
          <w:i w:val="0"/>
          <w:iCs w:val="0"/>
          <w:caps w:val="0"/>
          <w:color w:val="1F2329"/>
          <w:spacing w:val="0"/>
          <w:sz w:val="24"/>
          <w:szCs w:val="24"/>
          <w:highlight w:val="none"/>
          <w:shd w:val="clear" w:fill="FFFFFF"/>
        </w:rPr>
        <w:t>综合评分表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1091"/>
        <w:gridCol w:w="1100"/>
        <w:gridCol w:w="6107"/>
      </w:tblGrid>
      <w:tr w14:paraId="4F2E7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tcBorders>
              <w:top w:val="single" w:color="auto" w:sz="4" w:space="0"/>
              <w:left w:val="single" w:color="auto" w:sz="4" w:space="0"/>
              <w:bottom w:val="single" w:color="auto" w:sz="4" w:space="0"/>
              <w:right w:val="single" w:color="auto" w:sz="4" w:space="0"/>
            </w:tcBorders>
            <w:noWrap w:val="0"/>
            <w:vAlign w:val="center"/>
          </w:tcPr>
          <w:p w14:paraId="40F5894C">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序号</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5F01B528">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评分项目</w:t>
            </w:r>
          </w:p>
        </w:tc>
        <w:tc>
          <w:tcPr>
            <w:tcW w:w="1100" w:type="dxa"/>
            <w:tcBorders>
              <w:top w:val="single" w:color="auto" w:sz="4" w:space="0"/>
              <w:left w:val="single" w:color="auto" w:sz="4" w:space="0"/>
              <w:bottom w:val="single" w:color="auto" w:sz="4" w:space="0"/>
              <w:right w:val="single" w:color="auto" w:sz="4" w:space="0"/>
            </w:tcBorders>
            <w:noWrap w:val="0"/>
            <w:vAlign w:val="center"/>
          </w:tcPr>
          <w:p w14:paraId="59C66196">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标准分</w:t>
            </w:r>
          </w:p>
        </w:tc>
        <w:tc>
          <w:tcPr>
            <w:tcW w:w="6107" w:type="dxa"/>
            <w:tcBorders>
              <w:top w:val="single" w:color="auto" w:sz="4" w:space="0"/>
              <w:left w:val="single" w:color="auto" w:sz="4" w:space="0"/>
              <w:bottom w:val="single" w:color="auto" w:sz="4" w:space="0"/>
              <w:right w:val="single" w:color="auto" w:sz="4" w:space="0"/>
            </w:tcBorders>
            <w:noWrap w:val="0"/>
            <w:vAlign w:val="center"/>
          </w:tcPr>
          <w:p w14:paraId="3B2F12BD">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评分标准</w:t>
            </w:r>
          </w:p>
        </w:tc>
      </w:tr>
      <w:tr w14:paraId="44161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4" w:hRule="atLeast"/>
          <w:jc w:val="center"/>
        </w:trPr>
        <w:tc>
          <w:tcPr>
            <w:tcW w:w="646" w:type="dxa"/>
            <w:tcBorders>
              <w:top w:val="single" w:color="auto" w:sz="4" w:space="0"/>
              <w:left w:val="single" w:color="auto" w:sz="4" w:space="0"/>
              <w:bottom w:val="single" w:color="auto" w:sz="4" w:space="0"/>
              <w:right w:val="single" w:color="auto" w:sz="4" w:space="0"/>
            </w:tcBorders>
            <w:noWrap w:val="0"/>
            <w:vAlign w:val="center"/>
          </w:tcPr>
          <w:p w14:paraId="634DAC46">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1</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68FDD2B2">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投标报价</w:t>
            </w:r>
          </w:p>
        </w:tc>
        <w:tc>
          <w:tcPr>
            <w:tcW w:w="1100" w:type="dxa"/>
            <w:tcBorders>
              <w:top w:val="single" w:color="auto" w:sz="4" w:space="0"/>
              <w:left w:val="single" w:color="auto" w:sz="4" w:space="0"/>
              <w:bottom w:val="single" w:color="auto" w:sz="4" w:space="0"/>
              <w:right w:val="single" w:color="auto" w:sz="4" w:space="0"/>
            </w:tcBorders>
            <w:noWrap w:val="0"/>
            <w:vAlign w:val="center"/>
          </w:tcPr>
          <w:p w14:paraId="7ACB0B24">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bidi="ar"/>
              </w:rPr>
              <w:t>30</w:t>
            </w:r>
            <w:r>
              <w:rPr>
                <w:rFonts w:hint="eastAsia" w:asciiTheme="minorEastAsia" w:hAnsiTheme="minorEastAsia" w:eastAsiaTheme="minorEastAsia" w:cstheme="minorEastAsia"/>
                <w:sz w:val="24"/>
                <w:szCs w:val="24"/>
                <w:highlight w:val="none"/>
                <w:lang w:bidi="ar"/>
              </w:rPr>
              <w:t>分</w:t>
            </w:r>
          </w:p>
        </w:tc>
        <w:tc>
          <w:tcPr>
            <w:tcW w:w="6107" w:type="dxa"/>
            <w:tcBorders>
              <w:top w:val="single" w:color="auto" w:sz="4" w:space="0"/>
              <w:left w:val="single" w:color="auto" w:sz="4" w:space="0"/>
              <w:bottom w:val="single" w:color="auto" w:sz="4" w:space="0"/>
              <w:right w:val="single" w:color="auto" w:sz="4" w:space="0"/>
            </w:tcBorders>
            <w:noWrap w:val="0"/>
            <w:vAlign w:val="center"/>
          </w:tcPr>
          <w:p w14:paraId="5DF13932">
            <w:pPr>
              <w:keepNext w:val="0"/>
              <w:keepLines w:val="0"/>
              <w:pageBreakBefore w:val="0"/>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所有算术修正后的投标报价由低到高进行排序，投标价格最低的投标报价为评标基准价，其价格分为满分。价格分统一公式计算：投标报价得分=（投标基准价/投标报价）×0.1×100。注：依据财库[2011]181号关于印发《政府采购促进中小企业发展暂行办法》的通知，此项目投标单位如为小型和微型企业，其投标产品的价格给予6%的扣除，用扣除后的价格参与评审。投标人须附《中小企业声明函》及相关证明材料，否则将不被认可。</w:t>
            </w:r>
          </w:p>
        </w:tc>
      </w:tr>
      <w:tr w14:paraId="5F72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646" w:type="dxa"/>
            <w:tcBorders>
              <w:top w:val="single" w:color="auto" w:sz="4" w:space="0"/>
              <w:left w:val="single" w:color="auto" w:sz="4" w:space="0"/>
              <w:bottom w:val="single" w:color="auto" w:sz="4" w:space="0"/>
              <w:right w:val="single" w:color="auto" w:sz="4" w:space="0"/>
            </w:tcBorders>
            <w:noWrap w:val="0"/>
            <w:vAlign w:val="center"/>
          </w:tcPr>
          <w:p w14:paraId="6E530E01">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val="en-US" w:eastAsia="zh-CN" w:bidi="ar"/>
              </w:rPr>
            </w:pPr>
            <w:r>
              <w:rPr>
                <w:rFonts w:hint="eastAsia" w:asciiTheme="minorEastAsia" w:hAnsiTheme="minorEastAsia" w:eastAsiaTheme="minorEastAsia" w:cstheme="minorEastAsia"/>
                <w:sz w:val="24"/>
                <w:szCs w:val="24"/>
                <w:highlight w:val="none"/>
                <w:lang w:val="en-US" w:eastAsia="zh-CN" w:bidi="ar"/>
              </w:rPr>
              <w:t>2</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55557F18">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项目实施方案</w:t>
            </w:r>
          </w:p>
        </w:tc>
        <w:tc>
          <w:tcPr>
            <w:tcW w:w="1100" w:type="dxa"/>
            <w:tcBorders>
              <w:top w:val="single" w:color="auto" w:sz="4" w:space="0"/>
              <w:left w:val="single" w:color="auto" w:sz="4" w:space="0"/>
              <w:bottom w:val="single" w:color="auto" w:sz="4" w:space="0"/>
              <w:right w:val="single" w:color="auto" w:sz="4" w:space="0"/>
            </w:tcBorders>
            <w:noWrap w:val="0"/>
            <w:vAlign w:val="center"/>
          </w:tcPr>
          <w:p w14:paraId="79D4693B">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val="en-US" w:bidi="ar"/>
              </w:rPr>
              <w:t>15</w:t>
            </w:r>
            <w:r>
              <w:rPr>
                <w:rFonts w:hint="eastAsia" w:asciiTheme="minorEastAsia" w:hAnsiTheme="minorEastAsia" w:eastAsiaTheme="minorEastAsia" w:cstheme="minorEastAsia"/>
                <w:sz w:val="24"/>
                <w:szCs w:val="24"/>
                <w:highlight w:val="none"/>
                <w:lang w:bidi="ar"/>
              </w:rPr>
              <w:t>分</w:t>
            </w:r>
          </w:p>
        </w:tc>
        <w:tc>
          <w:tcPr>
            <w:tcW w:w="6107" w:type="dxa"/>
            <w:tcBorders>
              <w:top w:val="single" w:color="auto" w:sz="4" w:space="0"/>
              <w:left w:val="single" w:color="auto" w:sz="4" w:space="0"/>
              <w:bottom w:val="single" w:color="auto" w:sz="4" w:space="0"/>
              <w:right w:val="single" w:color="auto" w:sz="4" w:space="0"/>
            </w:tcBorders>
            <w:noWrap w:val="0"/>
            <w:vAlign w:val="center"/>
          </w:tcPr>
          <w:p w14:paraId="27755947">
            <w:pPr>
              <w:keepNext w:val="0"/>
              <w:keepLines w:val="0"/>
              <w:pageBreakBefore w:val="0"/>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项目实施方案论述全面、合理（涵盖</w:t>
            </w:r>
            <w:r>
              <w:rPr>
                <w:rFonts w:hint="eastAsia" w:asciiTheme="minorEastAsia" w:hAnsiTheme="minorEastAsia" w:eastAsiaTheme="minorEastAsia" w:cstheme="minorEastAsia"/>
                <w:sz w:val="24"/>
                <w:szCs w:val="24"/>
                <w:highlight w:val="none"/>
                <w:lang w:val="en-US" w:eastAsia="zh-CN" w:bidi="ar"/>
              </w:rPr>
              <w:t>维修项目</w:t>
            </w:r>
            <w:r>
              <w:rPr>
                <w:rFonts w:hint="eastAsia" w:asciiTheme="minorEastAsia" w:hAnsiTheme="minorEastAsia" w:eastAsiaTheme="minorEastAsia" w:cstheme="minorEastAsia"/>
                <w:sz w:val="24"/>
                <w:szCs w:val="24"/>
                <w:highlight w:val="none"/>
                <w:lang w:bidi="ar"/>
              </w:rPr>
              <w:t>各环节流程、人员安排、设备保障等）的得10-15分；项目实施方案论述全面、合理性一般的得5-9.9分；项目实施方案论述全面、合理性差的得0-4.9分。</w:t>
            </w:r>
          </w:p>
        </w:tc>
      </w:tr>
      <w:tr w14:paraId="3CEA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646" w:type="dxa"/>
            <w:tcBorders>
              <w:top w:val="single" w:color="auto" w:sz="4" w:space="0"/>
              <w:left w:val="single" w:color="auto" w:sz="4" w:space="0"/>
              <w:bottom w:val="single" w:color="auto" w:sz="4" w:space="0"/>
              <w:right w:val="single" w:color="auto" w:sz="4" w:space="0"/>
            </w:tcBorders>
            <w:noWrap w:val="0"/>
            <w:vAlign w:val="center"/>
          </w:tcPr>
          <w:p w14:paraId="0816F4E3">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val="en-US" w:eastAsia="zh-CN" w:bidi="ar"/>
              </w:rPr>
            </w:pPr>
            <w:r>
              <w:rPr>
                <w:rFonts w:hint="eastAsia" w:asciiTheme="minorEastAsia" w:hAnsiTheme="minorEastAsia" w:eastAsiaTheme="minorEastAsia" w:cstheme="minorEastAsia"/>
                <w:sz w:val="24"/>
                <w:szCs w:val="24"/>
                <w:highlight w:val="none"/>
                <w:lang w:val="en-US" w:eastAsia="zh-CN" w:bidi="ar"/>
              </w:rPr>
              <w:t>3</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4AC2D850">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售后服务承诺</w:t>
            </w:r>
          </w:p>
        </w:tc>
        <w:tc>
          <w:tcPr>
            <w:tcW w:w="1100" w:type="dxa"/>
            <w:tcBorders>
              <w:top w:val="single" w:color="auto" w:sz="4" w:space="0"/>
              <w:left w:val="single" w:color="auto" w:sz="4" w:space="0"/>
              <w:bottom w:val="single" w:color="auto" w:sz="4" w:space="0"/>
              <w:right w:val="single" w:color="auto" w:sz="4" w:space="0"/>
            </w:tcBorders>
            <w:noWrap w:val="0"/>
            <w:vAlign w:val="center"/>
          </w:tcPr>
          <w:p w14:paraId="327F4825">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val="en-US" w:eastAsia="zh-CN" w:bidi="ar"/>
              </w:rPr>
              <w:t>30</w:t>
            </w:r>
            <w:r>
              <w:rPr>
                <w:rFonts w:hint="eastAsia" w:asciiTheme="minorEastAsia" w:hAnsiTheme="minorEastAsia" w:eastAsiaTheme="minorEastAsia" w:cstheme="minorEastAsia"/>
                <w:sz w:val="24"/>
                <w:szCs w:val="24"/>
                <w:highlight w:val="none"/>
                <w:lang w:bidi="ar"/>
              </w:rPr>
              <w:t>分</w:t>
            </w:r>
          </w:p>
        </w:tc>
        <w:tc>
          <w:tcPr>
            <w:tcW w:w="6107" w:type="dxa"/>
            <w:tcBorders>
              <w:top w:val="single" w:color="auto" w:sz="4" w:space="0"/>
              <w:left w:val="single" w:color="auto" w:sz="4" w:space="0"/>
              <w:bottom w:val="single" w:color="auto" w:sz="4" w:space="0"/>
              <w:right w:val="single" w:color="auto" w:sz="4" w:space="0"/>
            </w:tcBorders>
            <w:noWrap w:val="0"/>
            <w:vAlign w:val="center"/>
          </w:tcPr>
          <w:p w14:paraId="63993838">
            <w:pPr>
              <w:keepNext w:val="0"/>
              <w:keepLines w:val="0"/>
              <w:pageBreakBefore w:val="0"/>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投标人根据项目特点，有完善的售后服务体系，服务措施完善，有科学合理的服务方案（</w:t>
            </w:r>
            <w:r>
              <w:rPr>
                <w:rFonts w:hint="eastAsia" w:ascii="宋体" w:hAnsi="宋体" w:cs="宋体"/>
                <w:spacing w:val="-1"/>
                <w:sz w:val="24"/>
                <w:szCs w:val="24"/>
                <w:lang w:val="en-US" w:eastAsia="zh-CN"/>
              </w:rPr>
              <w:t>维修材料费用维修保养所需配件、耗材等单价、单次 200 元（包含本数）以下及全年累计金额不超过10080元等全部费用</w:t>
            </w:r>
            <w:r>
              <w:rPr>
                <w:rFonts w:hint="eastAsia" w:asciiTheme="minorEastAsia" w:hAnsiTheme="minorEastAsia" w:eastAsiaTheme="minorEastAsia" w:cstheme="minorEastAsia"/>
                <w:sz w:val="24"/>
                <w:szCs w:val="24"/>
                <w:highlight w:val="none"/>
                <w:lang w:bidi="ar"/>
              </w:rPr>
              <w:t>）的得</w:t>
            </w:r>
            <w:r>
              <w:rPr>
                <w:rFonts w:hint="eastAsia" w:asciiTheme="minorEastAsia" w:hAnsiTheme="minorEastAsia" w:eastAsiaTheme="minorEastAsia" w:cstheme="minorEastAsia"/>
                <w:sz w:val="24"/>
                <w:szCs w:val="24"/>
                <w:highlight w:val="none"/>
                <w:lang w:val="en-US" w:eastAsia="zh-CN" w:bidi="ar"/>
              </w:rPr>
              <w:t>25</w:t>
            </w:r>
            <w:r>
              <w:rPr>
                <w:rFonts w:hint="eastAsia" w:asciiTheme="minorEastAsia" w:hAnsiTheme="minorEastAsia" w:eastAsiaTheme="minorEastAsia" w:cstheme="minorEastAsia"/>
                <w:sz w:val="24"/>
                <w:szCs w:val="24"/>
                <w:highlight w:val="none"/>
                <w:lang w:bidi="ar"/>
              </w:rPr>
              <w:t>-</w:t>
            </w:r>
            <w:r>
              <w:rPr>
                <w:rFonts w:hint="eastAsia" w:asciiTheme="minorEastAsia" w:hAnsiTheme="minorEastAsia" w:eastAsiaTheme="minorEastAsia" w:cstheme="minorEastAsia"/>
                <w:sz w:val="24"/>
                <w:szCs w:val="24"/>
                <w:highlight w:val="none"/>
                <w:lang w:val="en-US" w:eastAsia="zh-CN" w:bidi="ar"/>
              </w:rPr>
              <w:t>30</w:t>
            </w:r>
            <w:r>
              <w:rPr>
                <w:rFonts w:hint="eastAsia" w:asciiTheme="minorEastAsia" w:hAnsiTheme="minorEastAsia" w:eastAsiaTheme="minorEastAsia" w:cstheme="minorEastAsia"/>
                <w:sz w:val="24"/>
                <w:szCs w:val="24"/>
                <w:highlight w:val="none"/>
                <w:lang w:bidi="ar"/>
              </w:rPr>
              <w:t>分；投标人根据项目特点，有较为完善的售后服务体系，服务措施较具体，有较合理的服务方案，得</w:t>
            </w:r>
            <w:r>
              <w:rPr>
                <w:rFonts w:hint="eastAsia" w:asciiTheme="minorEastAsia" w:hAnsiTheme="minorEastAsia" w:eastAsiaTheme="minorEastAsia" w:cstheme="minorEastAsia"/>
                <w:sz w:val="24"/>
                <w:szCs w:val="24"/>
                <w:highlight w:val="none"/>
                <w:lang w:val="en-US" w:eastAsia="zh-CN" w:bidi="ar"/>
              </w:rPr>
              <w:t>15</w:t>
            </w:r>
            <w:r>
              <w:rPr>
                <w:rFonts w:hint="eastAsia" w:asciiTheme="minorEastAsia" w:hAnsiTheme="minorEastAsia" w:eastAsiaTheme="minorEastAsia" w:cstheme="minorEastAsia"/>
                <w:sz w:val="24"/>
                <w:szCs w:val="24"/>
                <w:highlight w:val="none"/>
                <w:lang w:bidi="ar"/>
              </w:rPr>
              <w:t>-</w:t>
            </w:r>
            <w:r>
              <w:rPr>
                <w:rFonts w:hint="eastAsia" w:asciiTheme="minorEastAsia" w:hAnsiTheme="minorEastAsia" w:eastAsiaTheme="minorEastAsia" w:cstheme="minorEastAsia"/>
                <w:sz w:val="24"/>
                <w:szCs w:val="24"/>
                <w:highlight w:val="none"/>
                <w:lang w:val="en-US" w:eastAsia="zh-CN" w:bidi="ar"/>
              </w:rPr>
              <w:t>24</w:t>
            </w:r>
            <w:r>
              <w:rPr>
                <w:rFonts w:hint="eastAsia" w:asciiTheme="minorEastAsia" w:hAnsiTheme="minorEastAsia" w:eastAsiaTheme="minorEastAsia" w:cstheme="minorEastAsia"/>
                <w:sz w:val="24"/>
                <w:szCs w:val="24"/>
                <w:highlight w:val="none"/>
                <w:lang w:bidi="ar"/>
              </w:rPr>
              <w:t>分；投标人根据项目特点，有售后服务体系，有明确的服务措施和服务方案，得0-</w:t>
            </w:r>
            <w:r>
              <w:rPr>
                <w:rFonts w:hint="eastAsia" w:asciiTheme="minorEastAsia" w:hAnsiTheme="minorEastAsia" w:eastAsiaTheme="minorEastAsia" w:cstheme="minorEastAsia"/>
                <w:sz w:val="24"/>
                <w:szCs w:val="24"/>
                <w:highlight w:val="none"/>
                <w:lang w:val="en-US" w:eastAsia="zh-CN" w:bidi="ar"/>
              </w:rPr>
              <w:t>14</w:t>
            </w:r>
            <w:r>
              <w:rPr>
                <w:rFonts w:hint="eastAsia" w:asciiTheme="minorEastAsia" w:hAnsiTheme="minorEastAsia" w:eastAsiaTheme="minorEastAsia" w:cstheme="minorEastAsia"/>
                <w:sz w:val="24"/>
                <w:szCs w:val="24"/>
                <w:highlight w:val="none"/>
                <w:lang w:bidi="ar"/>
              </w:rPr>
              <w:t>分，其他情况不得分。</w:t>
            </w:r>
          </w:p>
        </w:tc>
      </w:tr>
      <w:tr w14:paraId="1FF4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46" w:type="dxa"/>
            <w:tcBorders>
              <w:top w:val="single" w:color="auto" w:sz="4" w:space="0"/>
              <w:left w:val="single" w:color="auto" w:sz="4" w:space="0"/>
              <w:bottom w:val="single" w:color="auto" w:sz="4" w:space="0"/>
              <w:right w:val="single" w:color="auto" w:sz="4" w:space="0"/>
            </w:tcBorders>
            <w:noWrap w:val="0"/>
            <w:vAlign w:val="center"/>
          </w:tcPr>
          <w:p w14:paraId="2F6F61B4">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val="en-US" w:eastAsia="zh-CN" w:bidi="ar"/>
              </w:rPr>
            </w:pPr>
            <w:r>
              <w:rPr>
                <w:rFonts w:hint="eastAsia" w:asciiTheme="minorEastAsia" w:hAnsiTheme="minorEastAsia" w:eastAsiaTheme="minorEastAsia" w:cstheme="minorEastAsia"/>
                <w:sz w:val="24"/>
                <w:szCs w:val="24"/>
                <w:highlight w:val="none"/>
                <w:lang w:val="en-US" w:eastAsia="zh-CN" w:bidi="ar"/>
              </w:rPr>
              <w:t>4</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0A303E3C">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驻场运维方案及保障措施</w:t>
            </w:r>
          </w:p>
        </w:tc>
        <w:tc>
          <w:tcPr>
            <w:tcW w:w="1100" w:type="dxa"/>
            <w:tcBorders>
              <w:top w:val="single" w:color="auto" w:sz="4" w:space="0"/>
              <w:left w:val="single" w:color="auto" w:sz="4" w:space="0"/>
              <w:bottom w:val="single" w:color="auto" w:sz="4" w:space="0"/>
              <w:right w:val="single" w:color="auto" w:sz="4" w:space="0"/>
            </w:tcBorders>
            <w:noWrap w:val="0"/>
            <w:vAlign w:val="center"/>
          </w:tcPr>
          <w:p w14:paraId="17A7FD22">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val="en-US" w:eastAsia="zh-CN" w:bidi="ar"/>
              </w:rPr>
              <w:t>20</w:t>
            </w:r>
            <w:r>
              <w:rPr>
                <w:rFonts w:hint="eastAsia" w:asciiTheme="minorEastAsia" w:hAnsiTheme="minorEastAsia" w:eastAsiaTheme="minorEastAsia" w:cstheme="minorEastAsia"/>
                <w:sz w:val="24"/>
                <w:szCs w:val="24"/>
                <w:highlight w:val="none"/>
                <w:lang w:bidi="ar"/>
              </w:rPr>
              <w:t>分</w:t>
            </w:r>
          </w:p>
        </w:tc>
        <w:tc>
          <w:tcPr>
            <w:tcW w:w="6107" w:type="dxa"/>
            <w:tcBorders>
              <w:top w:val="single" w:color="auto" w:sz="4" w:space="0"/>
              <w:left w:val="single" w:color="auto" w:sz="4" w:space="0"/>
              <w:bottom w:val="single" w:color="auto" w:sz="4" w:space="0"/>
              <w:right w:val="single" w:color="auto" w:sz="4" w:space="0"/>
            </w:tcBorders>
            <w:noWrap w:val="0"/>
            <w:vAlign w:val="center"/>
          </w:tcPr>
          <w:p w14:paraId="19547BD8">
            <w:pPr>
              <w:keepNext w:val="0"/>
              <w:keepLines w:val="0"/>
              <w:pageBreakBefore w:val="0"/>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方案论述全面、合理（含驻场人员配置、工作时间安排、应急保障机制等）的得</w:t>
            </w:r>
            <w:r>
              <w:rPr>
                <w:rFonts w:hint="eastAsia" w:asciiTheme="minorEastAsia" w:hAnsiTheme="minorEastAsia" w:eastAsiaTheme="minorEastAsia" w:cstheme="minorEastAsia"/>
                <w:sz w:val="24"/>
                <w:szCs w:val="24"/>
                <w:highlight w:val="none"/>
                <w:lang w:val="en-US" w:eastAsia="zh-CN" w:bidi="ar"/>
              </w:rPr>
              <w:t>15-20</w:t>
            </w:r>
            <w:r>
              <w:rPr>
                <w:rFonts w:hint="eastAsia" w:asciiTheme="minorEastAsia" w:hAnsiTheme="minorEastAsia" w:eastAsiaTheme="minorEastAsia" w:cstheme="minorEastAsia"/>
                <w:sz w:val="24"/>
                <w:szCs w:val="24"/>
                <w:highlight w:val="none"/>
                <w:lang w:bidi="ar"/>
              </w:rPr>
              <w:t>分；方案论述全面、合理性一般的得</w:t>
            </w:r>
            <w:r>
              <w:rPr>
                <w:rFonts w:hint="eastAsia" w:asciiTheme="minorEastAsia" w:hAnsiTheme="minorEastAsia" w:eastAsiaTheme="minorEastAsia" w:cstheme="minorEastAsia"/>
                <w:sz w:val="24"/>
                <w:szCs w:val="24"/>
                <w:highlight w:val="none"/>
                <w:lang w:val="en-US" w:eastAsia="zh-CN" w:bidi="ar"/>
              </w:rPr>
              <w:t>10</w:t>
            </w:r>
            <w:r>
              <w:rPr>
                <w:rFonts w:hint="eastAsia" w:asciiTheme="minorEastAsia" w:hAnsiTheme="minorEastAsia" w:eastAsiaTheme="minorEastAsia" w:cstheme="minorEastAsia"/>
                <w:sz w:val="24"/>
                <w:szCs w:val="24"/>
                <w:highlight w:val="none"/>
                <w:lang w:bidi="ar"/>
              </w:rPr>
              <w:t>-</w:t>
            </w:r>
            <w:r>
              <w:rPr>
                <w:rFonts w:hint="eastAsia" w:asciiTheme="minorEastAsia" w:hAnsiTheme="minorEastAsia" w:eastAsiaTheme="minorEastAsia" w:cstheme="minorEastAsia"/>
                <w:sz w:val="24"/>
                <w:szCs w:val="24"/>
                <w:highlight w:val="none"/>
                <w:lang w:val="en-US" w:eastAsia="zh-CN" w:bidi="ar"/>
              </w:rPr>
              <w:t>15</w:t>
            </w:r>
            <w:r>
              <w:rPr>
                <w:rFonts w:hint="eastAsia" w:asciiTheme="minorEastAsia" w:hAnsiTheme="minorEastAsia" w:eastAsiaTheme="minorEastAsia" w:cstheme="minorEastAsia"/>
                <w:sz w:val="24"/>
                <w:szCs w:val="24"/>
                <w:highlight w:val="none"/>
                <w:lang w:bidi="ar"/>
              </w:rPr>
              <w:t>分；方案论述全面、合理性差的得0-</w:t>
            </w:r>
            <w:r>
              <w:rPr>
                <w:rFonts w:hint="eastAsia" w:asciiTheme="minorEastAsia" w:hAnsiTheme="minorEastAsia" w:eastAsiaTheme="minorEastAsia" w:cstheme="minorEastAsia"/>
                <w:sz w:val="24"/>
                <w:szCs w:val="24"/>
                <w:highlight w:val="none"/>
                <w:lang w:val="en-US" w:eastAsia="zh-CN" w:bidi="ar"/>
              </w:rPr>
              <w:t>9</w:t>
            </w:r>
            <w:r>
              <w:rPr>
                <w:rFonts w:hint="eastAsia" w:asciiTheme="minorEastAsia" w:hAnsiTheme="minorEastAsia" w:eastAsiaTheme="minorEastAsia" w:cstheme="minorEastAsia"/>
                <w:sz w:val="24"/>
                <w:szCs w:val="24"/>
                <w:highlight w:val="none"/>
                <w:lang w:bidi="ar"/>
              </w:rPr>
              <w:t>分。</w:t>
            </w:r>
          </w:p>
        </w:tc>
      </w:tr>
      <w:tr w14:paraId="7CF2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46" w:type="dxa"/>
            <w:tcBorders>
              <w:top w:val="single" w:color="auto" w:sz="4" w:space="0"/>
              <w:left w:val="single" w:color="auto" w:sz="4" w:space="0"/>
              <w:bottom w:val="single" w:color="auto" w:sz="4" w:space="0"/>
              <w:right w:val="single" w:color="auto" w:sz="4" w:space="0"/>
            </w:tcBorders>
            <w:noWrap w:val="0"/>
            <w:vAlign w:val="center"/>
          </w:tcPr>
          <w:p w14:paraId="523B3657">
            <w:pPr>
              <w:pStyle w:val="23"/>
              <w:keepNext w:val="0"/>
              <w:keepLines w:val="0"/>
              <w:pageBreakBefore w:val="0"/>
              <w:kinsoku/>
              <w:wordWrap/>
              <w:overflowPunct/>
              <w:topLinePunct w:val="0"/>
              <w:bidi w:val="0"/>
              <w:spacing w:line="560" w:lineRule="exact"/>
              <w:ind w:left="16" w:leftChars="0" w:right="0" w:rightChars="0"/>
              <w:jc w:val="center"/>
              <w:textAlignment w:val="auto"/>
              <w:rPr>
                <w:rFonts w:hint="eastAsia" w:asciiTheme="minorEastAsia" w:hAnsiTheme="minorEastAsia" w:eastAsiaTheme="minorEastAsia" w:cstheme="minorEastAsia"/>
                <w:sz w:val="24"/>
                <w:szCs w:val="24"/>
                <w:highlight w:val="none"/>
                <w:lang w:val="en-US" w:eastAsia="zh-CN" w:bidi="ar"/>
              </w:rPr>
            </w:pPr>
            <w:r>
              <w:rPr>
                <w:rFonts w:hint="eastAsia" w:asciiTheme="minorEastAsia" w:hAnsiTheme="minorEastAsia" w:eastAsiaTheme="minorEastAsia" w:cstheme="minorEastAsia"/>
                <w:sz w:val="24"/>
                <w:szCs w:val="24"/>
                <w:highlight w:val="none"/>
                <w:lang w:val="en-US" w:eastAsia="zh-CN" w:bidi="ar"/>
              </w:rPr>
              <w:t>5</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070B1C8D">
            <w:pPr>
              <w:keepNext w:val="0"/>
              <w:keepLines w:val="0"/>
              <w:pageBreakBefore w:val="0"/>
              <w:kinsoku/>
              <w:wordWrap/>
              <w:overflowPunct/>
              <w:topLinePunct w:val="0"/>
              <w:bidi w:val="0"/>
              <w:spacing w:line="560" w:lineRule="exact"/>
              <w:textAlignment w:val="auto"/>
              <w:rPr>
                <w:rFonts w:hint="eastAsia" w:asciiTheme="minorEastAsia" w:hAnsiTheme="minorEastAsia" w:eastAsiaTheme="minorEastAsia" w:cstheme="minorEastAsia"/>
                <w:sz w:val="24"/>
                <w:szCs w:val="24"/>
                <w:highlight w:val="none"/>
              </w:rPr>
            </w:pPr>
          </w:p>
          <w:p w14:paraId="710CB6B5">
            <w:pPr>
              <w:pStyle w:val="23"/>
              <w:keepNext w:val="0"/>
              <w:keepLines w:val="0"/>
              <w:pageBreakBefore w:val="0"/>
              <w:kinsoku/>
              <w:wordWrap/>
              <w:overflowPunct/>
              <w:topLinePunct w:val="0"/>
              <w:bidi w:val="0"/>
              <w:spacing w:line="560" w:lineRule="exact"/>
              <w:ind w:left="0" w:leftChars="0" w:right="34" w:rightChars="16" w:firstLine="0" w:firstLineChars="0"/>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同类</w:t>
            </w:r>
          </w:p>
          <w:p w14:paraId="76C509AE">
            <w:pPr>
              <w:pStyle w:val="23"/>
              <w:keepNext w:val="0"/>
              <w:keepLines w:val="0"/>
              <w:pageBreakBefore w:val="0"/>
              <w:kinsoku/>
              <w:wordWrap/>
              <w:overflowPunct/>
              <w:topLinePunct w:val="0"/>
              <w:bidi w:val="0"/>
              <w:spacing w:line="560" w:lineRule="exact"/>
              <w:ind w:left="0" w:leftChars="0" w:right="0" w:rightChars="0"/>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rPr>
              <w:t>业绩</w:t>
            </w:r>
          </w:p>
        </w:tc>
        <w:tc>
          <w:tcPr>
            <w:tcW w:w="1100" w:type="dxa"/>
            <w:tcBorders>
              <w:top w:val="single" w:color="auto" w:sz="4" w:space="0"/>
              <w:left w:val="single" w:color="auto" w:sz="4" w:space="0"/>
              <w:bottom w:val="single" w:color="auto" w:sz="4" w:space="0"/>
              <w:right w:val="single" w:color="auto" w:sz="4" w:space="0"/>
            </w:tcBorders>
            <w:noWrap w:val="0"/>
            <w:vAlign w:val="top"/>
          </w:tcPr>
          <w:p w14:paraId="7F3C0AC1">
            <w:pPr>
              <w:pStyle w:val="23"/>
              <w:keepNext w:val="0"/>
              <w:keepLines w:val="0"/>
              <w:pageBreakBefore w:val="0"/>
              <w:widowControl w:val="0"/>
              <w:kinsoku/>
              <w:wordWrap/>
              <w:overflowPunct/>
              <w:topLinePunct w:val="0"/>
              <w:autoSpaceDE w:val="0"/>
              <w:autoSpaceDN w:val="0"/>
              <w:bidi w:val="0"/>
              <w:adjustRightInd/>
              <w:snapToGrid/>
              <w:spacing w:before="2" w:line="560" w:lineRule="exact"/>
              <w:ind w:left="0"/>
              <w:jc w:val="center"/>
              <w:textAlignment w:val="auto"/>
              <w:rPr>
                <w:rFonts w:hint="eastAsia" w:asciiTheme="minorEastAsia" w:hAnsiTheme="minorEastAsia" w:eastAsiaTheme="minorEastAsia" w:cstheme="minorEastAsia"/>
                <w:b/>
                <w:sz w:val="24"/>
                <w:szCs w:val="24"/>
                <w:highlight w:val="none"/>
                <w:lang w:val="en-US" w:eastAsia="zh-CN"/>
              </w:rPr>
            </w:pPr>
          </w:p>
          <w:p w14:paraId="1D2511F0">
            <w:pPr>
              <w:pStyle w:val="23"/>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val="en-US" w:bidi="ar"/>
              </w:rPr>
              <w:t>5</w:t>
            </w:r>
            <w:r>
              <w:rPr>
                <w:rFonts w:hint="eastAsia" w:asciiTheme="minorEastAsia" w:hAnsiTheme="minorEastAsia" w:eastAsiaTheme="minorEastAsia" w:cstheme="minorEastAsia"/>
                <w:sz w:val="24"/>
                <w:szCs w:val="24"/>
                <w:highlight w:val="none"/>
                <w:lang w:bidi="ar"/>
              </w:rPr>
              <w:t>分</w:t>
            </w:r>
          </w:p>
        </w:tc>
        <w:tc>
          <w:tcPr>
            <w:tcW w:w="6107" w:type="dxa"/>
            <w:tcBorders>
              <w:top w:val="single" w:color="auto" w:sz="4" w:space="0"/>
              <w:left w:val="single" w:color="auto" w:sz="4" w:space="0"/>
              <w:bottom w:val="single" w:color="auto" w:sz="4" w:space="0"/>
              <w:right w:val="single" w:color="auto" w:sz="4" w:space="0"/>
            </w:tcBorders>
            <w:noWrap w:val="0"/>
            <w:vAlign w:val="top"/>
          </w:tcPr>
          <w:p w14:paraId="58A14194">
            <w:pPr>
              <w:pStyle w:val="23"/>
              <w:keepNext w:val="0"/>
              <w:keepLines w:val="0"/>
              <w:pageBreakBefore w:val="0"/>
              <w:kinsoku/>
              <w:wordWrap/>
              <w:overflowPunct/>
              <w:topLinePunct w:val="0"/>
              <w:bidi w:val="0"/>
              <w:spacing w:before="94" w:line="560" w:lineRule="exact"/>
              <w:ind w:left="110" w:leftChars="0"/>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rPr>
              <w:t>根据供应商的业绩情况进行评审，提供近三年</w:t>
            </w:r>
            <w:r>
              <w:rPr>
                <w:rFonts w:hint="eastAsia" w:asciiTheme="minorEastAsia" w:hAnsiTheme="minorEastAsia" w:eastAsiaTheme="minorEastAsia" w:cstheme="minorEastAsia"/>
                <w:sz w:val="24"/>
                <w:szCs w:val="24"/>
                <w:highlight w:val="none"/>
                <w:lang w:val="en-US" w:eastAsia="zh-CN"/>
              </w:rPr>
              <w:t>内</w:t>
            </w:r>
            <w:r>
              <w:rPr>
                <w:rFonts w:hint="eastAsia" w:asciiTheme="minorEastAsia" w:hAnsiTheme="minorEastAsia" w:eastAsiaTheme="minorEastAsia" w:cstheme="minorEastAsia"/>
                <w:sz w:val="24"/>
                <w:szCs w:val="24"/>
                <w:highlight w:val="none"/>
              </w:rPr>
              <w:t>（以合同签订时间为准）的至少 2 个服务满一年的</w:t>
            </w:r>
            <w:r>
              <w:rPr>
                <w:rFonts w:hint="eastAsia" w:asciiTheme="minorEastAsia" w:hAnsiTheme="minorEastAsia" w:eastAsiaTheme="minorEastAsia" w:cstheme="minorEastAsia"/>
                <w:sz w:val="24"/>
                <w:szCs w:val="24"/>
                <w:highlight w:val="none"/>
                <w:lang w:val="en-US" w:eastAsia="zh-CN"/>
              </w:rPr>
              <w:t>写字楼、对公项目维修</w:t>
            </w:r>
            <w:r>
              <w:rPr>
                <w:rFonts w:hint="eastAsia" w:asciiTheme="minorEastAsia" w:hAnsiTheme="minorEastAsia" w:eastAsiaTheme="minorEastAsia" w:cstheme="minorEastAsia"/>
                <w:sz w:val="24"/>
                <w:szCs w:val="24"/>
                <w:highlight w:val="none"/>
              </w:rPr>
              <w:t>业务合同</w:t>
            </w:r>
            <w:r>
              <w:rPr>
                <w:rFonts w:hint="eastAsia" w:asciiTheme="minorEastAsia" w:hAnsiTheme="minorEastAsia" w:eastAsiaTheme="minorEastAsia" w:cstheme="minorEastAsia"/>
                <w:sz w:val="24"/>
                <w:szCs w:val="24"/>
                <w:highlight w:val="none"/>
                <w:lang w:val="en-US" w:eastAsia="zh-CN"/>
              </w:rPr>
              <w:t>业绩</w:t>
            </w:r>
            <w:r>
              <w:rPr>
                <w:rFonts w:hint="eastAsia" w:asciiTheme="minorEastAsia" w:hAnsiTheme="minorEastAsia" w:eastAsiaTheme="minorEastAsia" w:cstheme="minorEastAsia"/>
                <w:sz w:val="24"/>
                <w:szCs w:val="24"/>
                <w:highlight w:val="none"/>
              </w:rPr>
              <w:t>，并具有履行合同所必需的服务供应和专业技术能力。业绩证明文件包括但不限于：合同首页、服务范围、合同双方盖章的签署页，按</w:t>
            </w:r>
            <w:r>
              <w:rPr>
                <w:rFonts w:hint="eastAsia" w:asciiTheme="minorEastAsia" w:hAnsiTheme="minorEastAsia" w:eastAsiaTheme="minorEastAsia" w:cstheme="minorEastAsia"/>
                <w:sz w:val="24"/>
                <w:szCs w:val="24"/>
                <w:highlight w:val="none"/>
                <w:lang w:val="en-US" w:eastAsia="zh-CN"/>
              </w:rPr>
              <w:t>询比采购</w:t>
            </w:r>
            <w:r>
              <w:rPr>
                <w:rFonts w:hint="eastAsia" w:asciiTheme="minorEastAsia" w:hAnsiTheme="minorEastAsia" w:eastAsiaTheme="minorEastAsia" w:cstheme="minorEastAsia"/>
                <w:sz w:val="24"/>
                <w:szCs w:val="24"/>
                <w:highlight w:val="none"/>
              </w:rPr>
              <w:t>文件 要求提供以上合同业绩清单。提供一个得</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5分。</w:t>
            </w:r>
          </w:p>
        </w:tc>
      </w:tr>
    </w:tbl>
    <w:p w14:paraId="043659A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kern w:val="2"/>
          <w:sz w:val="24"/>
          <w:szCs w:val="24"/>
          <w:shd w:val="clear" w:fill="FFFFFF"/>
          <w:lang w:val="en-US" w:eastAsia="zh-CN" w:bidi="ar-SA"/>
        </w:rPr>
        <w:t>1、</w:t>
      </w:r>
      <w:r>
        <w:rPr>
          <w:rFonts w:hint="eastAsia" w:asciiTheme="minorEastAsia" w:hAnsiTheme="minorEastAsia" w:eastAsiaTheme="minorEastAsia" w:cstheme="minorEastAsia"/>
          <w:i w:val="0"/>
          <w:iCs w:val="0"/>
          <w:caps w:val="0"/>
          <w:color w:val="1F2329"/>
          <w:spacing w:val="0"/>
          <w:sz w:val="24"/>
          <w:szCs w:val="24"/>
          <w:shd w:val="clear" w:fill="FFFFFF"/>
        </w:rPr>
        <w:t>评标结果的确定</w:t>
      </w:r>
    </w:p>
    <w:p w14:paraId="452CE4A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评标委员会根据对供应商询比采购投标文件的评审结果，最终确定具有履行合同义务的条件、资质合格、技术指标符合需求、产品质量优良、报价合理且未超出采购预算的供应商为中标供应商。采购招标人将于采购人依法确定中标人之日起2个工作日内，在张家口建发集团网站公告中标结果，中标公告期限为1个工作日。在公告期间若有对中标供应商的反映，并经核实反映情况属实，将取消其中标资格，由预中标候选人（综合得分次高且报价未超出采购预算的供应商）替补，以此类推。采购人也可以按照相关法律、法规重新组织招标。</w:t>
      </w:r>
    </w:p>
    <w:p w14:paraId="45FFDDC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2、中标供应商在中标公告发布后</w:t>
      </w:r>
      <w:r>
        <w:rPr>
          <w:rFonts w:hint="eastAsia" w:asciiTheme="minorEastAsia" w:hAnsiTheme="minorEastAsia" w:eastAsiaTheme="minorEastAsia" w:cstheme="minorEastAsia"/>
          <w:i w:val="0"/>
          <w:iCs w:val="0"/>
          <w:caps w:val="0"/>
          <w:color w:val="1F2329"/>
          <w:spacing w:val="0"/>
          <w:sz w:val="24"/>
          <w:szCs w:val="24"/>
          <w:shd w:val="clear" w:fill="FFFFFF"/>
          <w:lang w:val="en-US" w:eastAsia="zh-CN"/>
        </w:rPr>
        <w:t>1</w:t>
      </w:r>
      <w:r>
        <w:rPr>
          <w:rFonts w:hint="eastAsia" w:asciiTheme="minorEastAsia" w:hAnsiTheme="minorEastAsia" w:eastAsiaTheme="minorEastAsia" w:cstheme="minorEastAsia"/>
          <w:i w:val="0"/>
          <w:iCs w:val="0"/>
          <w:caps w:val="0"/>
          <w:color w:val="1F2329"/>
          <w:spacing w:val="0"/>
          <w:sz w:val="24"/>
          <w:szCs w:val="24"/>
          <w:shd w:val="clear" w:fill="FFFFFF"/>
        </w:rPr>
        <w:t>个工作日</w:t>
      </w:r>
      <w:r>
        <w:rPr>
          <w:rFonts w:hint="eastAsia" w:asciiTheme="minorEastAsia" w:hAnsiTheme="minorEastAsia" w:eastAsiaTheme="minorEastAsia" w:cstheme="minorEastAsia"/>
          <w:i w:val="0"/>
          <w:iCs w:val="0"/>
          <w:caps w:val="0"/>
          <w:color w:val="1F2329"/>
          <w:spacing w:val="0"/>
          <w:sz w:val="24"/>
          <w:szCs w:val="24"/>
          <w:highlight w:val="none"/>
          <w:shd w:val="clear" w:fill="FFFFFF"/>
        </w:rPr>
        <w:t>内到公司领</w:t>
      </w:r>
      <w:r>
        <w:rPr>
          <w:rFonts w:hint="eastAsia" w:asciiTheme="minorEastAsia" w:hAnsiTheme="minorEastAsia" w:eastAsiaTheme="minorEastAsia" w:cstheme="minorEastAsia"/>
          <w:i w:val="0"/>
          <w:iCs w:val="0"/>
          <w:caps w:val="0"/>
          <w:color w:val="1F2329"/>
          <w:spacing w:val="0"/>
          <w:sz w:val="24"/>
          <w:szCs w:val="24"/>
          <w:shd w:val="clear" w:fill="FFFFFF"/>
        </w:rPr>
        <w:t>取中标通知书，如未按期领取而产生的一切后果，均由中标供应商承担。</w:t>
      </w:r>
    </w:p>
    <w:p w14:paraId="20259AA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3、质疑与投诉投标人对政府采购活动事项有质疑的，可以向采购人或采购招标人提出询问或者质疑。质疑投标人对采购人或采购招标人的答复不满意或者没有答复的，</w:t>
      </w:r>
      <w:r>
        <w:rPr>
          <w:rFonts w:hint="eastAsia" w:asciiTheme="minorEastAsia" w:hAnsiTheme="minorEastAsia" w:eastAsiaTheme="minorEastAsia" w:cstheme="minorEastAsia"/>
          <w:i w:val="0"/>
          <w:iCs w:val="0"/>
          <w:caps w:val="0"/>
          <w:color w:val="1F2329"/>
          <w:spacing w:val="0"/>
          <w:sz w:val="24"/>
          <w:szCs w:val="24"/>
          <w:highlight w:val="none"/>
          <w:shd w:val="clear" w:fill="FFFFFF"/>
        </w:rPr>
        <w:t>可向</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建发集团</w:t>
      </w:r>
      <w:r>
        <w:rPr>
          <w:rFonts w:hint="eastAsia" w:asciiTheme="minorEastAsia" w:hAnsiTheme="minorEastAsia" w:eastAsiaTheme="minorEastAsia" w:cstheme="minorEastAsia"/>
          <w:i w:val="0"/>
          <w:iCs w:val="0"/>
          <w:caps w:val="0"/>
          <w:color w:val="1F2329"/>
          <w:spacing w:val="0"/>
          <w:sz w:val="24"/>
          <w:szCs w:val="24"/>
          <w:highlight w:val="none"/>
          <w:shd w:val="clear" w:fill="FFFFFF"/>
        </w:rPr>
        <w:t>投诉。质疑</w:t>
      </w:r>
      <w:r>
        <w:rPr>
          <w:rFonts w:hint="eastAsia" w:asciiTheme="minorEastAsia" w:hAnsiTheme="minorEastAsia" w:eastAsiaTheme="minorEastAsia" w:cstheme="minorEastAsia"/>
          <w:i w:val="0"/>
          <w:iCs w:val="0"/>
          <w:caps w:val="0"/>
          <w:color w:val="1F2329"/>
          <w:spacing w:val="0"/>
          <w:sz w:val="24"/>
          <w:szCs w:val="24"/>
          <w:shd w:val="clear" w:fill="FFFFFF"/>
        </w:rPr>
        <w:t>或者投诉要事实清楚、证据充分，质疑或者投诉材料应当包含质疑或者投诉内容、证据材料、证据材料来源等，材料中引用没有公开的询比采购文件的，要明确注明材料来源。对没有证据材料和没有提供证据材料来源的，或以道听途说、主观臆断为依据提出的，不予受理；对捏造事实、陷害诬告、破坏政府采购工作的，将向政府采购办提议列入政府采购黑名单。</w:t>
      </w:r>
    </w:p>
    <w:p w14:paraId="6326613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七、保密及其他注意事项</w:t>
      </w:r>
    </w:p>
    <w:p w14:paraId="60969BE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1、评标是招标工作的重要环节，评标工作在评标小组内独立进行。</w:t>
      </w:r>
    </w:p>
    <w:p w14:paraId="1696B6E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2、供应商应遵守有关法律、法规，不得采取不正当的竞争手段，否则，其后果由供应商自负。</w:t>
      </w:r>
    </w:p>
    <w:p w14:paraId="44FA7D0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3、在开标直至宣布结果之前，供应商不得向评委询问评标情况，不得进行旨在影响评标结果的活动，否则，其投标无效并追究法律责任。</w:t>
      </w:r>
    </w:p>
    <w:p w14:paraId="40B0C11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4、评标过程中，评委不得与供应商私下交换意见。在招标工作结束后，凡与评标情况有接触的任何人，不得将评标情况进行泄露。</w:t>
      </w:r>
    </w:p>
    <w:p w14:paraId="6AAD569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5、评标小组不向落标方解释落标原因，投标资料一律不予退还。</w:t>
      </w:r>
    </w:p>
    <w:p w14:paraId="5C64109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八、合同</w:t>
      </w:r>
    </w:p>
    <w:p w14:paraId="051C056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（一）合同由采购人和中标供应商签订。</w:t>
      </w:r>
    </w:p>
    <w:p w14:paraId="3F63E40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（二）签订合同</w:t>
      </w:r>
    </w:p>
    <w:p w14:paraId="47A9077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1、中标供应商持采购人签发的中标通知书以及其它相关证件与采购人签订《</w:t>
      </w:r>
      <w:r>
        <w:rPr>
          <w:rFonts w:hint="eastAsia" w:asciiTheme="minorEastAsia" w:hAnsiTheme="minorEastAsia" w:eastAsiaTheme="minorEastAsia" w:cstheme="minorEastAsia"/>
          <w:i w:val="0"/>
          <w:iCs w:val="0"/>
          <w:caps w:val="0"/>
          <w:color w:val="1F2329"/>
          <w:spacing w:val="0"/>
          <w:sz w:val="24"/>
          <w:szCs w:val="24"/>
          <w:shd w:val="clear" w:fill="FFFFFF"/>
          <w:lang w:val="en-US" w:eastAsia="zh-CN"/>
        </w:rPr>
        <w:t>综合维修</w:t>
      </w:r>
      <w:r>
        <w:rPr>
          <w:rFonts w:hint="eastAsia" w:asciiTheme="minorEastAsia" w:hAnsiTheme="minorEastAsia" w:eastAsiaTheme="minorEastAsia" w:cstheme="minorEastAsia"/>
          <w:i w:val="0"/>
          <w:iCs w:val="0"/>
          <w:caps w:val="0"/>
          <w:color w:val="1F2329"/>
          <w:spacing w:val="0"/>
          <w:sz w:val="24"/>
          <w:szCs w:val="24"/>
          <w:shd w:val="clear" w:fill="FFFFFF"/>
        </w:rPr>
        <w:t>服务合同》；</w:t>
      </w:r>
    </w:p>
    <w:p w14:paraId="6483322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2、中标供应商应在中标通知书发出后30日内与采购人签订供货合同；</w:t>
      </w:r>
    </w:p>
    <w:p w14:paraId="772B07D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3、如中标供应商或采购人不按中标通知书规定的时间、地点等要求按时签订合同或拒绝签订合同，则按违约处理。在有关媒体公布其不良行为；采购人违约，则按照《政府采购法》有关规定处理；</w:t>
      </w:r>
    </w:p>
    <w:p w14:paraId="2F0CD5E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4、如遇中标供应商违约，由预中标候选人（综合得分次高且报价未超出采购预算的供应商）替补，以此类推；</w:t>
      </w:r>
    </w:p>
    <w:p w14:paraId="0E93CCB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5、询比采购文件、询比采购投标文件、投标现场质询记录等确认文件，均作为签订《</w:t>
      </w:r>
      <w:r>
        <w:rPr>
          <w:rFonts w:hint="eastAsia" w:asciiTheme="minorEastAsia" w:hAnsiTheme="minorEastAsia" w:eastAsiaTheme="minorEastAsia" w:cstheme="minorEastAsia"/>
          <w:i w:val="0"/>
          <w:iCs w:val="0"/>
          <w:caps w:val="0"/>
          <w:color w:val="1F2329"/>
          <w:spacing w:val="0"/>
          <w:sz w:val="24"/>
          <w:szCs w:val="24"/>
          <w:shd w:val="clear" w:fill="FFFFFF"/>
          <w:lang w:val="en-US" w:eastAsia="zh-CN"/>
        </w:rPr>
        <w:t>综合维修</w:t>
      </w:r>
      <w:r>
        <w:rPr>
          <w:rFonts w:hint="eastAsia" w:asciiTheme="minorEastAsia" w:hAnsiTheme="minorEastAsia" w:eastAsiaTheme="minorEastAsia" w:cstheme="minorEastAsia"/>
          <w:i w:val="0"/>
          <w:iCs w:val="0"/>
          <w:caps w:val="0"/>
          <w:color w:val="1F2329"/>
          <w:spacing w:val="0"/>
          <w:sz w:val="24"/>
          <w:szCs w:val="24"/>
          <w:shd w:val="clear" w:fill="FFFFFF"/>
        </w:rPr>
        <w:t>服务合同》之依据，并作为合同的附件。</w:t>
      </w:r>
    </w:p>
    <w:p w14:paraId="076F249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6、合同条款应严格遵循《</w:t>
      </w:r>
      <w:r>
        <w:rPr>
          <w:rFonts w:hint="eastAsia" w:asciiTheme="minorEastAsia" w:hAnsiTheme="minorEastAsia" w:eastAsiaTheme="minorEastAsia" w:cstheme="minorEastAsia"/>
          <w:i w:val="0"/>
          <w:iCs w:val="0"/>
          <w:caps w:val="0"/>
          <w:color w:val="1F2329"/>
          <w:spacing w:val="0"/>
          <w:sz w:val="24"/>
          <w:szCs w:val="24"/>
          <w:shd w:val="clear" w:fill="FFFFFF"/>
          <w:lang w:val="en-US" w:eastAsia="zh-CN"/>
        </w:rPr>
        <w:t>综合维修</w:t>
      </w:r>
      <w:r>
        <w:rPr>
          <w:rFonts w:hint="eastAsia" w:asciiTheme="minorEastAsia" w:hAnsiTheme="minorEastAsia" w:eastAsiaTheme="minorEastAsia" w:cstheme="minorEastAsia"/>
          <w:i w:val="0"/>
          <w:iCs w:val="0"/>
          <w:caps w:val="0"/>
          <w:color w:val="1F2329"/>
          <w:spacing w:val="0"/>
          <w:sz w:val="24"/>
          <w:szCs w:val="24"/>
          <w:shd w:val="clear" w:fill="FFFFFF"/>
        </w:rPr>
        <w:t>服务合同》的相关约定，包括服务期限、服务费用、服务内容、双方权利义务、违约责任、保密条款等核心内容。</w:t>
      </w:r>
    </w:p>
    <w:p w14:paraId="143892F9">
      <w:pPr>
        <w:keepNext w:val="0"/>
        <w:keepLines w:val="0"/>
        <w:pageBreakBefore w:val="0"/>
        <w:kinsoku/>
        <w:wordWrap/>
        <w:overflowPunct/>
        <w:topLinePunct w:val="0"/>
        <w:bidi w:val="0"/>
        <w:spacing w:line="560" w:lineRule="exac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br w:type="page"/>
      </w:r>
    </w:p>
    <w:p w14:paraId="2D6F386F">
      <w:pPr>
        <w:pStyle w:val="2"/>
        <w:keepNext w:val="0"/>
        <w:keepLines w:val="0"/>
        <w:pageBreakBefore w:val="0"/>
        <w:kinsoku/>
        <w:wordWrap/>
        <w:overflowPunct/>
        <w:topLinePunct w:val="0"/>
        <w:bidi w:val="0"/>
        <w:spacing w:line="560" w:lineRule="exact"/>
        <w:textAlignment w:val="auto"/>
        <w:rPr>
          <w:rFonts w:hint="eastAsia" w:asciiTheme="minorEastAsia" w:hAnsiTheme="minorEastAsia" w:eastAsiaTheme="minorEastAsia" w:cstheme="minorEastAsia"/>
          <w:b w:val="0"/>
          <w:bCs w:val="0"/>
          <w:color w:val="000000"/>
          <w:sz w:val="24"/>
          <w:szCs w:val="24"/>
          <w:lang w:eastAsia="zh-CN"/>
        </w:rPr>
      </w:pPr>
      <w:r>
        <w:rPr>
          <w:rFonts w:hint="eastAsia" w:asciiTheme="minorEastAsia" w:hAnsiTheme="minorEastAsia" w:eastAsiaTheme="minorEastAsia" w:cstheme="minorEastAsia"/>
          <w:b w:val="0"/>
          <w:bCs w:val="0"/>
          <w:color w:val="000000"/>
          <w:sz w:val="24"/>
          <w:szCs w:val="24"/>
        </w:rPr>
        <w:t>第四部分</w:t>
      </w:r>
      <w:r>
        <w:rPr>
          <w:rFonts w:hint="eastAsia" w:asciiTheme="minorEastAsia" w:hAnsiTheme="minorEastAsia" w:eastAsiaTheme="minorEastAsia" w:cstheme="minorEastAsia"/>
          <w:b w:val="0"/>
          <w:bCs w:val="0"/>
          <w:color w:val="000000"/>
          <w:sz w:val="24"/>
          <w:szCs w:val="24"/>
          <w:lang w:val="en-US" w:eastAsia="zh-CN"/>
        </w:rPr>
        <w:t xml:space="preserve">  </w:t>
      </w:r>
      <w:r>
        <w:rPr>
          <w:rFonts w:hint="eastAsia" w:asciiTheme="minorEastAsia" w:hAnsiTheme="minorEastAsia" w:eastAsiaTheme="minorEastAsia" w:cstheme="minorEastAsia"/>
          <w:b w:val="0"/>
          <w:bCs w:val="0"/>
          <w:color w:val="000000"/>
          <w:sz w:val="24"/>
          <w:szCs w:val="24"/>
        </w:rPr>
        <w:t>合同草案</w:t>
      </w:r>
      <w:r>
        <w:rPr>
          <w:rFonts w:hint="eastAsia" w:asciiTheme="minorEastAsia" w:hAnsiTheme="minorEastAsia" w:eastAsiaTheme="minorEastAsia" w:cstheme="minorEastAsia"/>
          <w:b w:val="0"/>
          <w:bCs w:val="0"/>
          <w:color w:val="000000"/>
          <w:sz w:val="24"/>
          <w:szCs w:val="24"/>
          <w:lang w:eastAsia="zh-CN"/>
        </w:rPr>
        <w:t>（</w:t>
      </w:r>
      <w:r>
        <w:rPr>
          <w:rFonts w:hint="eastAsia" w:asciiTheme="minorEastAsia" w:hAnsiTheme="minorEastAsia" w:eastAsiaTheme="minorEastAsia" w:cstheme="minorEastAsia"/>
          <w:b w:val="0"/>
          <w:bCs w:val="0"/>
          <w:color w:val="000000"/>
          <w:sz w:val="24"/>
          <w:szCs w:val="24"/>
        </w:rPr>
        <w:t>仅供参考</w:t>
      </w:r>
      <w:r>
        <w:rPr>
          <w:rFonts w:hint="eastAsia" w:asciiTheme="minorEastAsia" w:hAnsiTheme="minorEastAsia" w:eastAsiaTheme="minorEastAsia" w:cstheme="minorEastAsia"/>
          <w:b w:val="0"/>
          <w:bCs w:val="0"/>
          <w:color w:val="000000"/>
          <w:sz w:val="24"/>
          <w:szCs w:val="24"/>
          <w:lang w:eastAsia="zh-CN"/>
        </w:rPr>
        <w:t>）</w:t>
      </w:r>
    </w:p>
    <w:p w14:paraId="6A3190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sz w:val="24"/>
          <w:szCs w:val="24"/>
        </w:rPr>
      </w:pPr>
    </w:p>
    <w:p w14:paraId="3618C0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lang w:val="en-US" w:eastAsia="zh-CN"/>
        </w:rPr>
        <w:t>保洁</w:t>
      </w:r>
      <w:r>
        <w:rPr>
          <w:rFonts w:hint="eastAsia" w:asciiTheme="minorEastAsia" w:hAnsiTheme="minorEastAsia" w:eastAsiaTheme="minorEastAsia" w:cstheme="minorEastAsia"/>
          <w:b/>
          <w:bCs/>
          <w:sz w:val="24"/>
          <w:szCs w:val="24"/>
          <w:highlight w:val="none"/>
        </w:rPr>
        <w:t>服务合同</w:t>
      </w:r>
    </w:p>
    <w:p w14:paraId="5668F03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p>
    <w:p w14:paraId="41347E7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甲方：</w:t>
      </w:r>
      <w:r>
        <w:rPr>
          <w:rFonts w:hint="eastAsia" w:asciiTheme="minorEastAsia" w:hAnsiTheme="minorEastAsia" w:eastAsiaTheme="minorEastAsia" w:cstheme="minorEastAsia"/>
          <w:color w:val="auto"/>
          <w:sz w:val="24"/>
          <w:szCs w:val="24"/>
          <w:u w:val="single"/>
          <w:lang w:val="en-US" w:eastAsia="zh-CN"/>
        </w:rPr>
        <w:t xml:space="preserve">                                                     </w:t>
      </w:r>
    </w:p>
    <w:p w14:paraId="17A1815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统一社会信用代码：</w:t>
      </w:r>
      <w:r>
        <w:rPr>
          <w:rFonts w:hint="eastAsia" w:asciiTheme="minorEastAsia" w:hAnsiTheme="minorEastAsia" w:eastAsiaTheme="minorEastAsia" w:cstheme="minorEastAsia"/>
          <w:color w:val="auto"/>
          <w:sz w:val="24"/>
          <w:szCs w:val="24"/>
          <w:u w:val="single"/>
          <w:lang w:val="en-US" w:eastAsia="zh-CN"/>
        </w:rPr>
        <w:t xml:space="preserve">                                         </w:t>
      </w:r>
    </w:p>
    <w:p w14:paraId="063C96B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lang w:val="en-US" w:eastAsia="zh-CN"/>
        </w:rPr>
        <w:t>开户银行：</w:t>
      </w:r>
      <w:r>
        <w:rPr>
          <w:rFonts w:hint="eastAsia" w:asciiTheme="minorEastAsia" w:hAnsiTheme="minorEastAsia" w:eastAsiaTheme="minorEastAsia" w:cstheme="minorEastAsia"/>
          <w:color w:val="auto"/>
          <w:sz w:val="24"/>
          <w:szCs w:val="24"/>
          <w:u w:val="single"/>
          <w:lang w:val="en-US" w:eastAsia="zh-CN"/>
        </w:rPr>
        <w:t xml:space="preserve">                                                 </w:t>
      </w:r>
    </w:p>
    <w:p w14:paraId="699F1DD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银行账号：</w:t>
      </w:r>
      <w:r>
        <w:rPr>
          <w:rFonts w:hint="eastAsia" w:asciiTheme="minorEastAsia" w:hAnsiTheme="minorEastAsia" w:eastAsiaTheme="minorEastAsia" w:cstheme="minorEastAsia"/>
          <w:color w:val="auto"/>
          <w:sz w:val="24"/>
          <w:szCs w:val="24"/>
          <w:u w:val="single"/>
          <w:lang w:val="en-US" w:eastAsia="zh-CN"/>
        </w:rPr>
        <w:t xml:space="preserve">                                                 </w:t>
      </w:r>
    </w:p>
    <w:p w14:paraId="716CF21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住所地：</w:t>
      </w:r>
      <w:r>
        <w:rPr>
          <w:rFonts w:hint="eastAsia" w:asciiTheme="minorEastAsia" w:hAnsiTheme="minorEastAsia" w:eastAsiaTheme="minorEastAsia" w:cstheme="minorEastAsia"/>
          <w:color w:val="auto"/>
          <w:sz w:val="24"/>
          <w:szCs w:val="24"/>
          <w:u w:val="single"/>
          <w:lang w:val="en-US" w:eastAsia="zh-CN"/>
        </w:rPr>
        <w:t xml:space="preserve">                                                   </w:t>
      </w:r>
    </w:p>
    <w:p w14:paraId="2A335C4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法定代表人：</w:t>
      </w:r>
      <w:r>
        <w:rPr>
          <w:rFonts w:hint="eastAsia" w:asciiTheme="minorEastAsia" w:hAnsiTheme="minorEastAsia" w:eastAsiaTheme="minorEastAsia" w:cstheme="minorEastAsia"/>
          <w:color w:val="auto"/>
          <w:sz w:val="24"/>
          <w:szCs w:val="24"/>
          <w:u w:val="single"/>
          <w:lang w:val="en-US" w:eastAsia="zh-CN"/>
        </w:rPr>
        <w:t xml:space="preserve">                                               </w:t>
      </w:r>
    </w:p>
    <w:p w14:paraId="21847F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color w:val="auto"/>
          <w:sz w:val="24"/>
          <w:szCs w:val="24"/>
          <w:u w:val="single"/>
          <w:lang w:val="en-US" w:eastAsia="zh-CN"/>
        </w:rPr>
        <w:t xml:space="preserve">                                                 </w:t>
      </w:r>
    </w:p>
    <w:p w14:paraId="5A72740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eastAsia="zh-CN"/>
        </w:rPr>
      </w:pPr>
    </w:p>
    <w:p w14:paraId="1B84A59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乙方：</w:t>
      </w:r>
      <w:r>
        <w:rPr>
          <w:rFonts w:hint="eastAsia" w:asciiTheme="minorEastAsia" w:hAnsiTheme="minorEastAsia" w:eastAsiaTheme="minorEastAsia" w:cstheme="minorEastAsia"/>
          <w:color w:val="auto"/>
          <w:sz w:val="24"/>
          <w:szCs w:val="24"/>
          <w:u w:val="single"/>
          <w:lang w:val="en-US" w:eastAsia="zh-CN"/>
        </w:rPr>
        <w:t xml:space="preserve">                                                     </w:t>
      </w:r>
    </w:p>
    <w:p w14:paraId="7DF71F1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统一社会信用代码：</w:t>
      </w:r>
      <w:r>
        <w:rPr>
          <w:rFonts w:hint="eastAsia" w:asciiTheme="minorEastAsia" w:hAnsiTheme="minorEastAsia" w:eastAsiaTheme="minorEastAsia" w:cstheme="minorEastAsia"/>
          <w:color w:val="auto"/>
          <w:sz w:val="24"/>
          <w:szCs w:val="24"/>
          <w:u w:val="single"/>
          <w:lang w:val="en-US" w:eastAsia="zh-CN"/>
        </w:rPr>
        <w:t xml:space="preserve">                                         </w:t>
      </w:r>
    </w:p>
    <w:p w14:paraId="0D4D249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lang w:val="en-US" w:eastAsia="zh-CN"/>
        </w:rPr>
        <w:t>开户银行：</w:t>
      </w:r>
      <w:r>
        <w:rPr>
          <w:rFonts w:hint="eastAsia" w:asciiTheme="minorEastAsia" w:hAnsiTheme="minorEastAsia" w:eastAsiaTheme="minorEastAsia" w:cstheme="minorEastAsia"/>
          <w:color w:val="auto"/>
          <w:sz w:val="24"/>
          <w:szCs w:val="24"/>
          <w:u w:val="single"/>
          <w:lang w:val="en-US" w:eastAsia="zh-CN"/>
        </w:rPr>
        <w:t xml:space="preserve">                                                 </w:t>
      </w:r>
    </w:p>
    <w:p w14:paraId="5A5BA98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银行账号：</w:t>
      </w:r>
      <w:r>
        <w:rPr>
          <w:rFonts w:hint="eastAsia" w:asciiTheme="minorEastAsia" w:hAnsiTheme="minorEastAsia" w:eastAsiaTheme="minorEastAsia" w:cstheme="minorEastAsia"/>
          <w:color w:val="auto"/>
          <w:sz w:val="24"/>
          <w:szCs w:val="24"/>
          <w:u w:val="single"/>
          <w:lang w:val="en-US" w:eastAsia="zh-CN"/>
        </w:rPr>
        <w:t xml:space="preserve">                                                 </w:t>
      </w:r>
    </w:p>
    <w:p w14:paraId="536006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住所地：</w:t>
      </w:r>
      <w:r>
        <w:rPr>
          <w:rFonts w:hint="eastAsia" w:asciiTheme="minorEastAsia" w:hAnsiTheme="minorEastAsia" w:eastAsiaTheme="minorEastAsia" w:cstheme="minorEastAsia"/>
          <w:color w:val="auto"/>
          <w:sz w:val="24"/>
          <w:szCs w:val="24"/>
          <w:u w:val="single"/>
          <w:lang w:val="en-US" w:eastAsia="zh-CN"/>
        </w:rPr>
        <w:t xml:space="preserve">                                                   </w:t>
      </w:r>
    </w:p>
    <w:p w14:paraId="2449ACF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法定代表人：</w:t>
      </w:r>
      <w:r>
        <w:rPr>
          <w:rFonts w:hint="eastAsia" w:asciiTheme="minorEastAsia" w:hAnsiTheme="minorEastAsia" w:eastAsiaTheme="minorEastAsia" w:cstheme="minorEastAsia"/>
          <w:color w:val="auto"/>
          <w:sz w:val="24"/>
          <w:szCs w:val="24"/>
          <w:u w:val="single"/>
          <w:lang w:val="en-US" w:eastAsia="zh-CN"/>
        </w:rPr>
        <w:t xml:space="preserve">                                               </w:t>
      </w:r>
    </w:p>
    <w:p w14:paraId="181AD1F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color w:val="auto"/>
          <w:sz w:val="24"/>
          <w:szCs w:val="24"/>
          <w:u w:val="single"/>
          <w:lang w:val="en-US" w:eastAsia="zh-CN"/>
        </w:rPr>
        <w:t xml:space="preserve">                                                 </w:t>
      </w:r>
    </w:p>
    <w:p w14:paraId="77482C6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rPr>
      </w:pPr>
    </w:p>
    <w:p w14:paraId="13453737">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Theme="minorEastAsia" w:hAnsiTheme="minorEastAsia" w:eastAsiaTheme="minorEastAsia" w:cstheme="minorEastAsia"/>
          <w:color w:val="000000"/>
          <w:kern w:val="0"/>
          <w:sz w:val="28"/>
          <w:szCs w:val="28"/>
        </w:rPr>
      </w:pPr>
      <w:r>
        <w:rPr>
          <w:rFonts w:hint="eastAsia" w:asciiTheme="minorEastAsia" w:hAnsiTheme="minorEastAsia" w:eastAsiaTheme="minorEastAsia" w:cstheme="minorEastAsia"/>
          <w:color w:val="000000"/>
          <w:kern w:val="0"/>
          <w:sz w:val="28"/>
          <w:szCs w:val="28"/>
        </w:rPr>
        <w:t>根据《中华人民共和国</w:t>
      </w:r>
      <w:r>
        <w:rPr>
          <w:rFonts w:hint="eastAsia" w:asciiTheme="minorEastAsia" w:hAnsiTheme="minorEastAsia" w:eastAsiaTheme="minorEastAsia" w:cstheme="minorEastAsia"/>
          <w:color w:val="000000"/>
          <w:kern w:val="0"/>
          <w:sz w:val="28"/>
          <w:szCs w:val="28"/>
          <w:lang w:eastAsia="zh-CN"/>
        </w:rPr>
        <w:t>民法典</w:t>
      </w:r>
      <w:r>
        <w:rPr>
          <w:rFonts w:hint="eastAsia" w:asciiTheme="minorEastAsia" w:hAnsiTheme="minorEastAsia" w:eastAsiaTheme="minorEastAsia" w:cstheme="minorEastAsia"/>
          <w:color w:val="000000"/>
          <w:kern w:val="0"/>
          <w:sz w:val="28"/>
          <w:szCs w:val="28"/>
        </w:rPr>
        <w:t>》等相关法律、法规的规定，</w:t>
      </w:r>
      <w:r>
        <w:rPr>
          <w:rFonts w:hint="eastAsia" w:asciiTheme="minorEastAsia" w:hAnsiTheme="minorEastAsia" w:eastAsiaTheme="minorEastAsia" w:cstheme="minorEastAsia"/>
          <w:sz w:val="28"/>
          <w:szCs w:val="28"/>
          <w:lang w:val="zh-CN"/>
        </w:rPr>
        <w:t>甲方</w:t>
      </w:r>
      <w:r>
        <w:rPr>
          <w:rFonts w:hint="eastAsia" w:asciiTheme="minorEastAsia" w:hAnsiTheme="minorEastAsia" w:eastAsiaTheme="minorEastAsia" w:cstheme="minorEastAsia"/>
          <w:color w:val="000000"/>
          <w:sz w:val="28"/>
          <w:szCs w:val="28"/>
          <w:lang w:val="zh-CN"/>
        </w:rPr>
        <w:t>委托乙方为</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sz w:val="28"/>
          <w:szCs w:val="28"/>
          <w:lang w:val="zh-CN"/>
        </w:rPr>
        <w:t>提</w:t>
      </w:r>
      <w:r>
        <w:rPr>
          <w:rFonts w:hint="eastAsia" w:asciiTheme="minorEastAsia" w:hAnsiTheme="minorEastAsia" w:eastAsiaTheme="minorEastAsia" w:cstheme="minorEastAsia"/>
          <w:color w:val="000000"/>
          <w:kern w:val="0"/>
          <w:sz w:val="28"/>
          <w:szCs w:val="28"/>
          <w:lang w:val="zh-CN"/>
        </w:rPr>
        <w:t>供</w:t>
      </w:r>
      <w:r>
        <w:rPr>
          <w:rFonts w:hint="eastAsia" w:asciiTheme="minorEastAsia" w:hAnsiTheme="minorEastAsia" w:eastAsiaTheme="minorEastAsia" w:cstheme="minorEastAsia"/>
          <w:color w:val="000000"/>
          <w:kern w:val="0"/>
          <w:sz w:val="28"/>
          <w:szCs w:val="28"/>
          <w:lang w:val="en-US" w:eastAsia="zh-CN"/>
        </w:rPr>
        <w:t>综合</w:t>
      </w:r>
      <w:r>
        <w:rPr>
          <w:rFonts w:hint="eastAsia" w:asciiTheme="minorEastAsia" w:hAnsiTheme="minorEastAsia" w:eastAsiaTheme="minorEastAsia" w:cstheme="minorEastAsia"/>
          <w:color w:val="000000"/>
          <w:kern w:val="0"/>
          <w:sz w:val="28"/>
          <w:szCs w:val="28"/>
        </w:rPr>
        <w:t>服务，为明确双方权利义务，特订立本合同，双方共同遵守。</w:t>
      </w:r>
    </w:p>
    <w:p w14:paraId="655D6FAF">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14:paraId="08C5E330">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eastAsia" w:asciiTheme="minorEastAsia" w:hAnsiTheme="minorEastAsia" w:eastAsiaTheme="minorEastAsia" w:cs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第一条 </w:t>
      </w:r>
      <w:r>
        <w:rPr>
          <w:rFonts w:hint="eastAsia" w:asciiTheme="minorEastAsia" w:hAnsiTheme="minorEastAsia" w:eastAsiaTheme="minorEastAsia" w:cstheme="minorEastAsia"/>
          <w:color w:val="000000" w:themeColor="text1"/>
          <w:sz w:val="28"/>
          <w:szCs w:val="28"/>
          <w14:textFill>
            <w14:solidFill>
              <w14:schemeClr w14:val="tx1"/>
            </w14:solidFill>
          </w14:textFill>
        </w:rPr>
        <w:t>服务</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项目</w:t>
      </w:r>
      <w:r>
        <w:rPr>
          <w:rFonts w:hint="eastAsia" w:asciiTheme="minorEastAsia" w:hAnsiTheme="minorEastAsia" w:eastAsiaTheme="minorEastAsia" w:cstheme="minorEastAsia"/>
          <w:color w:val="000000" w:themeColor="text1"/>
          <w:sz w:val="28"/>
          <w:szCs w:val="28"/>
          <w14:textFill>
            <w14:solidFill>
              <w14:schemeClr w14:val="tx1"/>
            </w14:solidFill>
          </w14:textFill>
        </w:rPr>
        <w:t>地址</w:t>
      </w:r>
    </w:p>
    <w:p w14:paraId="753748F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both"/>
        <w:textAlignment w:val="auto"/>
        <w:rPr>
          <w:rFonts w:hint="eastAsia" w:asciiTheme="minorEastAsia" w:hAnsiTheme="minorEastAsia" w:eastAsiaTheme="minorEastAsia" w:cstheme="minorEastAsia"/>
          <w:color w:val="000000" w:themeColor="text1"/>
          <w:kern w:val="0"/>
          <w:sz w:val="28"/>
          <w:szCs w:val="28"/>
          <w:u w:val="none"/>
          <w:lang w:val="en-US"/>
          <w14:textFill>
            <w14:solidFill>
              <w14:schemeClr w14:val="tx1"/>
            </w14:solidFill>
          </w14:textFill>
        </w:rPr>
      </w:pPr>
      <w:r>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t>乙方承担</w:t>
      </w:r>
      <w:r>
        <w:rPr>
          <w:rFonts w:hint="eastAsia" w:asciiTheme="minorEastAsia" w:hAnsiTheme="minorEastAsia" w:eastAsiaTheme="minorEastAsia" w:cstheme="minorEastAsia"/>
          <w:color w:val="000000" w:themeColor="text1"/>
          <w:kern w:val="0"/>
          <w:sz w:val="28"/>
          <w:szCs w:val="28"/>
          <w14:textFill>
            <w14:solidFill>
              <w14:schemeClr w14:val="tx1"/>
            </w14:solidFill>
          </w14:textFill>
        </w:rPr>
        <w:t>甲方</w:t>
      </w:r>
      <w:r>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t>位于</w:t>
      </w:r>
      <w:r>
        <w:rPr>
          <w:rFonts w:hint="eastAsia" w:asciiTheme="minorEastAsia" w:hAnsiTheme="minorEastAsia" w:eastAsiaTheme="minorEastAsia" w:cstheme="minorEastAsia"/>
          <w:color w:val="000000" w:themeColor="text1"/>
          <w:kern w:val="0"/>
          <w:sz w:val="28"/>
          <w:szCs w:val="28"/>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auto"/>
          <w:kern w:val="0"/>
          <w:sz w:val="28"/>
          <w:szCs w:val="28"/>
          <w:u w:val="single"/>
          <w:lang w:val="en-US" w:eastAsia="zh-CN"/>
        </w:rPr>
        <w:t xml:space="preserve"> </w:t>
      </w:r>
      <w:r>
        <w:rPr>
          <w:rFonts w:hint="eastAsia" w:asciiTheme="minorEastAsia" w:hAnsiTheme="minorEastAsia" w:eastAsiaTheme="minorEastAsia" w:cstheme="minorEastAsia"/>
          <w:color w:val="auto"/>
          <w:kern w:val="0"/>
          <w:sz w:val="28"/>
          <w:szCs w:val="28"/>
          <w:u w:val="none"/>
          <w:lang w:val="en-US" w:eastAsia="zh-CN"/>
        </w:rPr>
        <w:t>的</w:t>
      </w:r>
      <w:r>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t>服务项</w:t>
      </w:r>
      <w:r>
        <w:rPr>
          <w:rFonts w:hint="eastAsia" w:asciiTheme="minorEastAsia" w:hAnsiTheme="minorEastAsia" w:eastAsiaTheme="minorEastAsia" w:cstheme="minorEastAsia"/>
          <w:color w:val="000000" w:themeColor="text1"/>
          <w:kern w:val="0"/>
          <w:sz w:val="28"/>
          <w:szCs w:val="28"/>
          <w:u w:val="none"/>
          <w:lang w:val="en-US" w:eastAsia="zh-CN"/>
          <w14:textFill>
            <w14:solidFill>
              <w14:schemeClr w14:val="tx1"/>
            </w14:solidFill>
          </w14:textFill>
        </w:rPr>
        <w:t>目。</w:t>
      </w:r>
    </w:p>
    <w:p w14:paraId="0A00BE7C">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jc w:val="both"/>
        <w:textAlignment w:val="auto"/>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lang w:val="en-US" w:eastAsia="zh-CN"/>
        </w:rPr>
        <w:t xml:space="preserve">第二条 </w:t>
      </w:r>
      <w:r>
        <w:rPr>
          <w:rFonts w:hint="eastAsia" w:asciiTheme="minorEastAsia" w:hAnsiTheme="minorEastAsia" w:eastAsiaTheme="minorEastAsia" w:cstheme="minorEastAsia"/>
          <w:color w:val="000000"/>
          <w:sz w:val="28"/>
          <w:szCs w:val="28"/>
        </w:rPr>
        <w:t>服务期限</w:t>
      </w:r>
    </w:p>
    <w:p w14:paraId="65D62291">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sz w:val="28"/>
          <w:szCs w:val="28"/>
          <w:lang w:val="en-US" w:eastAsia="zh-CN"/>
        </w:rPr>
        <w:t>本合同服务期</w:t>
      </w:r>
      <w:r>
        <w:rPr>
          <w:rFonts w:hint="eastAsia" w:asciiTheme="minorEastAsia" w:hAnsiTheme="minorEastAsia" w:eastAsiaTheme="minorEastAsia" w:cstheme="minorEastAsia"/>
          <w:color w:val="000000"/>
          <w:sz w:val="28"/>
          <w:szCs w:val="28"/>
          <w:u w:val="single"/>
          <w:lang w:val="en-US" w:eastAsia="zh-CN"/>
        </w:rPr>
        <w:t xml:space="preserve"> </w:t>
      </w:r>
      <w:r>
        <w:rPr>
          <w:rFonts w:hint="eastAsia" w:asciiTheme="minorEastAsia" w:hAnsiTheme="minorEastAsia" w:eastAsiaTheme="minorEastAsia" w:cstheme="minorEastAsia"/>
          <w:color w:val="000000"/>
          <w:sz w:val="28"/>
          <w:szCs w:val="28"/>
          <w:u w:val="none"/>
          <w:lang w:val="en-US" w:eastAsia="zh-CN"/>
        </w:rPr>
        <w:t>年。</w:t>
      </w:r>
      <w:r>
        <w:rPr>
          <w:rFonts w:hint="eastAsia" w:asciiTheme="minorEastAsia" w:hAnsiTheme="minorEastAsia" w:eastAsiaTheme="minorEastAsia" w:cstheme="minorEastAsia"/>
          <w:color w:val="000000"/>
          <w:kern w:val="0"/>
          <w:sz w:val="28"/>
          <w:szCs w:val="28"/>
        </w:rPr>
        <w:t>自</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rPr>
        <w:t>年</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rPr>
        <w:t>月</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rPr>
        <w:t>日起至</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rPr>
        <w:t>年</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rPr>
        <w:t>月</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rPr>
        <w:t>日止。</w:t>
      </w:r>
    </w:p>
    <w:p w14:paraId="366F68DD">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如若合同期满后甲方仍需乙方继续为该项目提供服务，甲乙双方需在合同到期前30天协商，双方协商达成一致意见后续签。</w:t>
      </w:r>
    </w:p>
    <w:p w14:paraId="4ABD18D1">
      <w:pPr>
        <w:keepNext w:val="0"/>
        <w:keepLines w:val="0"/>
        <w:pageBreakBefore w:val="0"/>
        <w:widowControl w:val="0"/>
        <w:kinsoku/>
        <w:wordWrap/>
        <w:overflowPunct/>
        <w:topLinePunct w:val="0"/>
        <w:autoSpaceDE/>
        <w:autoSpaceDN/>
        <w:bidi w:val="0"/>
        <w:adjustRightInd/>
        <w:snapToGrid/>
        <w:spacing w:line="620" w:lineRule="exact"/>
        <w:jc w:val="both"/>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t xml:space="preserve">第三条 </w:t>
      </w:r>
      <w:r>
        <w:rPr>
          <w:rFonts w:hint="eastAsia" w:asciiTheme="minorEastAsia" w:hAnsiTheme="minorEastAsia" w:eastAsiaTheme="minorEastAsia" w:cstheme="minorEastAsia"/>
          <w:color w:val="000000"/>
          <w:kern w:val="0"/>
          <w:sz w:val="28"/>
          <w:szCs w:val="28"/>
          <w:lang w:val="en-US" w:eastAsia="zh-CN"/>
        </w:rPr>
        <w:t>服务费用、结算</w:t>
      </w:r>
      <w:r>
        <w:rPr>
          <w:rFonts w:hint="eastAsia" w:asciiTheme="minorEastAsia" w:hAnsiTheme="minorEastAsia" w:eastAsiaTheme="minorEastAsia" w:cstheme="minorEastAsia"/>
          <w:sz w:val="28"/>
          <w:szCs w:val="28"/>
          <w:lang w:val="en-US" w:eastAsia="zh-CN"/>
        </w:rPr>
        <w:t>方式及增值税特别约定：</w:t>
      </w:r>
    </w:p>
    <w:p w14:paraId="7927215E">
      <w:pPr>
        <w:keepNext w:val="0"/>
        <w:keepLines w:val="0"/>
        <w:pageBreakBefore w:val="0"/>
        <w:widowControl w:val="0"/>
        <w:kinsoku/>
        <w:wordWrap/>
        <w:overflowPunct/>
        <w:topLinePunct w:val="0"/>
        <w:autoSpaceDE/>
        <w:autoSpaceDN/>
        <w:bidi w:val="0"/>
        <w:adjustRightInd/>
        <w:snapToGrid/>
        <w:spacing w:line="620" w:lineRule="exact"/>
        <w:ind w:firstLine="560" w:firstLineChars="200"/>
        <w:jc w:val="both"/>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一、服务费用：</w:t>
      </w:r>
    </w:p>
    <w:p w14:paraId="3D0FCE19">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服务费暂定为为人民币</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lang w:val="en-US" w:eastAsia="zh-CN"/>
        </w:rPr>
        <w:t>元/月，（大写：</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lang w:val="en-US" w:eastAsia="zh-CN"/>
        </w:rPr>
        <w:t>）（含税），全年服务费为人民币</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lang w:val="en-US" w:eastAsia="zh-CN"/>
        </w:rPr>
        <w:t>元，（大写：</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lang w:val="en-US" w:eastAsia="zh-CN"/>
        </w:rPr>
        <w:t>）（含税）。此价格为含税价，具体不含税金额及税额根据乙方实际开具发票时所适用的国家法定税率计算确定。</w:t>
      </w:r>
    </w:p>
    <w:p w14:paraId="2369C88F">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上述服务费为暂定金额，服务费根据乙方每月提供服务人员人次及第六条考核情况等据实结算，即每月实际发生费用按月考勤人数及考核结果计算；若有人员变动以甲方通知书为准。</w:t>
      </w:r>
    </w:p>
    <w:p w14:paraId="216D6EF4">
      <w:pPr>
        <w:keepNext w:val="0"/>
        <w:keepLines w:val="0"/>
        <w:pageBreakBefore w:val="0"/>
        <w:widowControl w:val="0"/>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sz w:val="28"/>
          <w:szCs w:val="28"/>
          <w:u w:val="none"/>
          <w:lang w:val="zh-CN" w:eastAsia="zh-CN"/>
        </w:rPr>
      </w:pPr>
      <w:r>
        <w:rPr>
          <w:rFonts w:hint="eastAsia" w:asciiTheme="minorEastAsia" w:hAnsiTheme="minorEastAsia" w:eastAsiaTheme="minorEastAsia" w:cstheme="minorEastAsia"/>
          <w:sz w:val="28"/>
          <w:szCs w:val="28"/>
          <w:u w:val="none"/>
          <w:lang w:val="zh-CN" w:eastAsia="zh-CN"/>
        </w:rPr>
        <w:t>上述费用已经包含了乙方完成本合同项目工作所需的工资、保险、税金、利润等全部费用，甲方无须再向乙方支付任何费用（工服由甲方提供）。</w:t>
      </w:r>
    </w:p>
    <w:p w14:paraId="09CCBEC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val="zh-CN"/>
        </w:rPr>
      </w:pPr>
      <w:r>
        <w:rPr>
          <w:rFonts w:hint="eastAsia" w:asciiTheme="minorEastAsia" w:hAnsiTheme="minorEastAsia" w:eastAsiaTheme="minorEastAsia" w:cstheme="minorEastAsia"/>
          <w:sz w:val="28"/>
          <w:szCs w:val="28"/>
          <w:lang w:val="zh-CN"/>
        </w:rPr>
        <w:t>二、付款方式：转账</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zh-CN"/>
        </w:rPr>
        <w:t xml:space="preserve">            </w:t>
      </w:r>
    </w:p>
    <w:p w14:paraId="4BF4FD40">
      <w:pPr>
        <w:pStyle w:val="13"/>
        <w:keepNext w:val="0"/>
        <w:keepLines w:val="0"/>
        <w:pageBreakBefore w:val="0"/>
        <w:widowControl w:val="0"/>
        <w:numPr>
          <w:ilvl w:val="0"/>
          <w:numId w:val="0"/>
        </w:numPr>
        <w:kinsoku/>
        <w:wordWrap/>
        <w:overflowPunct/>
        <w:topLinePunct w:val="0"/>
        <w:autoSpaceDE/>
        <w:autoSpaceDN/>
        <w:bidi w:val="0"/>
        <w:snapToGrid/>
        <w:spacing w:after="0" w:line="580" w:lineRule="exact"/>
        <w:ind w:firstLine="560" w:firstLineChars="200"/>
        <w:rPr>
          <w:rFonts w:hint="eastAsia" w:asciiTheme="minorEastAsia" w:hAnsiTheme="minorEastAsia" w:eastAsiaTheme="minorEastAsia" w:cstheme="minorEastAsia"/>
          <w:sz w:val="28"/>
          <w:szCs w:val="28"/>
          <w:highlight w:val="yellow"/>
          <w:lang w:val="en-US" w:eastAsia="zh-CN"/>
        </w:rPr>
      </w:pPr>
      <w:r>
        <w:rPr>
          <w:rFonts w:hint="eastAsia" w:asciiTheme="minorEastAsia" w:hAnsiTheme="minorEastAsia" w:eastAsiaTheme="minorEastAsia" w:cstheme="minorEastAsia"/>
          <w:sz w:val="28"/>
          <w:szCs w:val="28"/>
          <w:lang w:val="en-US" w:eastAsia="zh-CN"/>
        </w:rPr>
        <w:t>三、结算方式</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color w:val="auto"/>
          <w:sz w:val="28"/>
          <w:szCs w:val="28"/>
          <w:highlight w:val="none"/>
        </w:rPr>
        <w:t>甲方</w:t>
      </w:r>
      <w:r>
        <w:rPr>
          <w:rFonts w:hint="eastAsia" w:asciiTheme="minorEastAsia" w:hAnsiTheme="minorEastAsia" w:eastAsiaTheme="minorEastAsia" w:cstheme="minorEastAsia"/>
          <w:color w:val="auto"/>
          <w:sz w:val="28"/>
          <w:szCs w:val="28"/>
          <w:highlight w:val="none"/>
          <w:lang w:val="en-US" w:eastAsia="zh-CN"/>
        </w:rPr>
        <w:t>按</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eastAsia="zh-CN"/>
        </w:rPr>
        <w:sym w:font="Wingdings 2" w:char="0052"/>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lang w:eastAsia="zh-CN"/>
        </w:rPr>
        <w:sym w:font="Wingdings 2" w:char="00A3"/>
      </w:r>
      <w:r>
        <w:rPr>
          <w:rFonts w:hint="eastAsia" w:asciiTheme="minorEastAsia" w:hAnsiTheme="minorEastAsia" w:eastAsiaTheme="minorEastAsia" w:cstheme="minorEastAsia"/>
          <w:color w:val="auto"/>
          <w:sz w:val="28"/>
          <w:szCs w:val="28"/>
          <w:highlight w:val="none"/>
          <w:lang w:val="en-US" w:eastAsia="zh-CN"/>
        </w:rPr>
        <w:t>季度</w:t>
      </w:r>
      <w:r>
        <w:rPr>
          <w:rFonts w:hint="eastAsia" w:asciiTheme="minorEastAsia" w:hAnsiTheme="minorEastAsia" w:eastAsiaTheme="minorEastAsia" w:cstheme="minorEastAsia"/>
          <w:color w:val="auto"/>
          <w:sz w:val="28"/>
          <w:szCs w:val="28"/>
          <w:highlight w:val="none"/>
        </w:rPr>
        <w:sym w:font="Wingdings 2" w:char="00A3"/>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rPr>
        <w:t>向乙方指定账户支付</w:t>
      </w:r>
      <w:r>
        <w:rPr>
          <w:rFonts w:hint="eastAsia" w:asciiTheme="minorEastAsia" w:hAnsiTheme="minorEastAsia" w:eastAsiaTheme="minorEastAsia" w:cstheme="minorEastAsia"/>
          <w:color w:val="auto"/>
          <w:sz w:val="28"/>
          <w:szCs w:val="28"/>
          <w:highlight w:val="none"/>
          <w:lang w:val="en-US" w:eastAsia="zh-CN"/>
        </w:rPr>
        <w:t>服务费用</w:t>
      </w:r>
      <w:r>
        <w:rPr>
          <w:rFonts w:hint="eastAsia" w:asciiTheme="minorEastAsia" w:hAnsiTheme="minorEastAsia" w:eastAsiaTheme="minorEastAsia" w:cstheme="minorEastAsia"/>
          <w:color w:val="auto"/>
          <w:sz w:val="28"/>
          <w:szCs w:val="28"/>
          <w:highlight w:val="none"/>
          <w:lang w:eastAsia="zh-CN"/>
        </w:rPr>
        <w:t>。</w:t>
      </w:r>
    </w:p>
    <w:p w14:paraId="7002F41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sz w:val="28"/>
          <w:szCs w:val="28"/>
          <w:lang w:val="en-US" w:eastAsia="zh-CN"/>
        </w:rPr>
        <w:t>乙方应向甲方提供符合国家规定的增值税普通发票。乙方在接到甲方开票要求后7日内开具增值税普通发票并送达甲方，甲方签收发票日期为发票送达日期。</w:t>
      </w:r>
    </w:p>
    <w:p w14:paraId="7F97B4D1">
      <w:pPr>
        <w:keepNext w:val="0"/>
        <w:keepLines w:val="0"/>
        <w:pageBreakBefore w:val="0"/>
        <w:widowControl w:val="0"/>
        <w:kinsoku/>
        <w:wordWrap/>
        <w:overflowPunct/>
        <w:topLinePunct w:val="0"/>
        <w:autoSpaceDE/>
        <w:autoSpaceDN/>
        <w:bidi w:val="0"/>
        <w:adjustRightInd/>
        <w:snapToGrid/>
        <w:spacing w:line="620" w:lineRule="exact"/>
        <w:jc w:val="both"/>
        <w:textAlignment w:val="auto"/>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t>第四条 服务内容及要求</w:t>
      </w:r>
    </w:p>
    <w:p w14:paraId="2C4D3641">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color w:val="auto"/>
          <w:sz w:val="28"/>
          <w:szCs w:val="28"/>
          <w:highlight w:val="none"/>
          <w:u w:val="none"/>
          <w:lang w:val="en-US" w:eastAsia="zh-CN"/>
        </w:rPr>
      </w:pPr>
      <w:r>
        <w:rPr>
          <w:rFonts w:hint="eastAsia" w:asciiTheme="minorEastAsia" w:hAnsiTheme="minorEastAsia" w:eastAsiaTheme="minorEastAsia" w:cstheme="minorEastAsia"/>
          <w:color w:val="auto"/>
          <w:sz w:val="28"/>
          <w:szCs w:val="28"/>
          <w:highlight w:val="none"/>
          <w:u w:val="none"/>
          <w:lang w:val="en-US" w:eastAsia="zh-CN"/>
        </w:rPr>
        <w:t>详情见附件1</w:t>
      </w:r>
    </w:p>
    <w:p w14:paraId="48173226">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Theme="minorEastAsia" w:hAnsiTheme="minorEastAsia" w:eastAsiaTheme="minorEastAsia" w:cstheme="minorEastAsia"/>
          <w:sz w:val="28"/>
          <w:szCs w:val="28"/>
        </w:rPr>
      </w:pPr>
      <w:bookmarkStart w:id="36" w:name="_Toc18481_WPSOffice_Level1"/>
      <w:r>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t xml:space="preserve">第五条  </w:t>
      </w:r>
      <w:r>
        <w:rPr>
          <w:rFonts w:hint="eastAsia" w:asciiTheme="minorEastAsia" w:hAnsiTheme="minorEastAsia" w:eastAsiaTheme="minorEastAsia" w:cstheme="minorEastAsia"/>
          <w:color w:val="000000" w:themeColor="text1"/>
          <w:kern w:val="0"/>
          <w:sz w:val="28"/>
          <w:szCs w:val="28"/>
          <w:lang w:val="zh-CN" w:eastAsia="zh-CN"/>
          <w14:textFill>
            <w14:solidFill>
              <w14:schemeClr w14:val="tx1"/>
            </w14:solidFill>
          </w14:textFill>
        </w:rPr>
        <w:t>双方的权利与义务</w:t>
      </w:r>
      <w:bookmarkEnd w:id="36"/>
    </w:p>
    <w:p w14:paraId="3C3DD933">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outlineLvl w:val="9"/>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一、甲方权利和义务</w:t>
      </w:r>
    </w:p>
    <w:p w14:paraId="2AAB9299">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如无特殊情况，甲方应按合同约定及时向乙方支付服务费。</w:t>
      </w:r>
    </w:p>
    <w:p w14:paraId="0E6EF143">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2</w:t>
      </w:r>
      <w:r>
        <w:rPr>
          <w:rFonts w:hint="eastAsia" w:asciiTheme="minorEastAsia" w:hAnsiTheme="minorEastAsia" w:eastAsiaTheme="minorEastAsia" w:cstheme="minorEastAsia"/>
          <w:sz w:val="28"/>
          <w:szCs w:val="28"/>
          <w:highlight w:val="none"/>
        </w:rPr>
        <w:t>、</w:t>
      </w:r>
      <w:r>
        <w:rPr>
          <w:rFonts w:hint="eastAsia" w:asciiTheme="minorEastAsia" w:hAnsiTheme="minorEastAsia" w:eastAsiaTheme="minorEastAsia" w:cstheme="minorEastAsia"/>
          <w:sz w:val="28"/>
          <w:szCs w:val="28"/>
          <w:highlight w:val="none"/>
          <w:lang w:val="en-US" w:eastAsia="zh-CN"/>
        </w:rPr>
        <w:t>甲方根据实际运营情况制定岗位设置及运行方式，有权要求乙方对岗位进行调整，有权要求乙方更换不称职服务人员，乙方应在3个工作日内完成人员调换。乙方主管以上（含主管）管理人员配备必须经甲方认可，甲方有权提出意见要求乙方调换不满意的乙方人员。</w:t>
      </w:r>
    </w:p>
    <w:p w14:paraId="20119278">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rPr>
        <w:t>、</w:t>
      </w:r>
      <w:r>
        <w:rPr>
          <w:rFonts w:hint="eastAsia" w:asciiTheme="minorEastAsia" w:hAnsiTheme="minorEastAsia" w:eastAsiaTheme="minorEastAsia" w:cstheme="minorEastAsia"/>
          <w:sz w:val="28"/>
          <w:szCs w:val="28"/>
          <w:highlight w:val="none"/>
          <w:lang w:val="en-US" w:eastAsia="zh-CN"/>
        </w:rPr>
        <w:t>甲方就本合同约定项目范围内对乙方日常服务工作、人员管理享有监督权、建议权、检查权、考核权，甲方对乙方工作进行不定期品质检查，发现问题乙方需及时改正。</w:t>
      </w:r>
    </w:p>
    <w:p w14:paraId="524388D6">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4</w:t>
      </w:r>
      <w:r>
        <w:rPr>
          <w:rFonts w:hint="eastAsia" w:asciiTheme="minorEastAsia" w:hAnsiTheme="minorEastAsia" w:eastAsiaTheme="minorEastAsia" w:cstheme="minorEastAsia"/>
          <w:sz w:val="28"/>
          <w:szCs w:val="28"/>
          <w:highlight w:val="none"/>
        </w:rPr>
        <w:t>、甲方应尊重乙方服务人员的人格，对有过错人员可提出批评或处罚，或向其主管领导提出反映，不得采取呵斥、辱骂等职业歧视行为。</w:t>
      </w:r>
    </w:p>
    <w:p w14:paraId="1B8C28F3">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5、甲方投资购置的资产，其所有权、处置权归属甲方。乙方购置的资产，其所有权、处置权归属乙方。</w:t>
      </w:r>
    </w:p>
    <w:p w14:paraId="33A72272">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zh-CN"/>
        </w:rPr>
        <w:t>6、甲方若发现乙方工作人员偷窃服务场所财产、勾结外人合伙盗窃,将采取相关法律程序进行处理,乙方应赔偿由此给甲方造成的相应损失,甲方可自行在乙方的服务费用中直接扣除。</w:t>
      </w:r>
    </w:p>
    <w:p w14:paraId="3FF4318D">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outlineLvl w:val="9"/>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二、</w:t>
      </w:r>
      <w:r>
        <w:rPr>
          <w:rFonts w:hint="eastAsia" w:asciiTheme="minorEastAsia" w:hAnsiTheme="minorEastAsia" w:eastAsiaTheme="minorEastAsia" w:cstheme="minorEastAsia"/>
          <w:sz w:val="28"/>
          <w:szCs w:val="28"/>
          <w:highlight w:val="none"/>
        </w:rPr>
        <w:t>乙方权利和义务</w:t>
      </w:r>
    </w:p>
    <w:p w14:paraId="54EBCC9D">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w:t>
      </w:r>
      <w:r>
        <w:rPr>
          <w:rFonts w:hint="eastAsia" w:asciiTheme="minorEastAsia" w:hAnsiTheme="minorEastAsia" w:eastAsiaTheme="minorEastAsia" w:cstheme="minorEastAsia"/>
          <w:sz w:val="28"/>
          <w:szCs w:val="28"/>
          <w:highlight w:val="none"/>
        </w:rPr>
        <w:t>根据有关法律、法规政策及本合同规定，制订相应的管理办法、规章制度、实施细则。</w:t>
      </w:r>
    </w:p>
    <w:p w14:paraId="51593630">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2、</w:t>
      </w:r>
      <w:r>
        <w:rPr>
          <w:rFonts w:hint="eastAsia" w:asciiTheme="minorEastAsia" w:hAnsiTheme="minorEastAsia" w:eastAsiaTheme="minorEastAsia" w:cstheme="minorEastAsia"/>
          <w:sz w:val="28"/>
          <w:szCs w:val="28"/>
          <w:highlight w:val="none"/>
        </w:rPr>
        <w:t>乙方必须遵守</w:t>
      </w:r>
      <w:r>
        <w:rPr>
          <w:rFonts w:hint="eastAsia" w:asciiTheme="minorEastAsia" w:hAnsiTheme="minorEastAsia" w:eastAsiaTheme="minorEastAsia" w:cstheme="minorEastAsia"/>
          <w:sz w:val="28"/>
          <w:szCs w:val="28"/>
          <w:highlight w:val="none"/>
          <w:lang w:eastAsia="zh-CN"/>
        </w:rPr>
        <w:t>项目</w:t>
      </w:r>
      <w:r>
        <w:rPr>
          <w:rFonts w:hint="eastAsia" w:asciiTheme="minorEastAsia" w:hAnsiTheme="minorEastAsia" w:eastAsiaTheme="minorEastAsia" w:cstheme="minorEastAsia"/>
          <w:sz w:val="28"/>
          <w:szCs w:val="28"/>
          <w:highlight w:val="none"/>
        </w:rPr>
        <w:t>有关管理规定</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接受</w:t>
      </w:r>
      <w:r>
        <w:rPr>
          <w:rFonts w:hint="eastAsia" w:asciiTheme="minorEastAsia" w:hAnsiTheme="minorEastAsia" w:eastAsiaTheme="minorEastAsia" w:cstheme="minorEastAsia"/>
          <w:sz w:val="28"/>
          <w:szCs w:val="28"/>
          <w:highlight w:val="none"/>
          <w:lang w:eastAsia="zh-CN"/>
        </w:rPr>
        <w:t>相关</w:t>
      </w:r>
      <w:r>
        <w:rPr>
          <w:rFonts w:hint="eastAsia" w:asciiTheme="minorEastAsia" w:hAnsiTheme="minorEastAsia" w:eastAsiaTheme="minorEastAsia" w:cstheme="minorEastAsia"/>
          <w:sz w:val="28"/>
          <w:szCs w:val="28"/>
          <w:highlight w:val="none"/>
        </w:rPr>
        <w:t>管理主管部门及有关政府部门的监督、指导，并接受甲方的监督，做好客户满意度回访等工作，协助甲方调查、</w:t>
      </w:r>
      <w:r>
        <w:rPr>
          <w:rFonts w:hint="eastAsia" w:asciiTheme="minorEastAsia" w:hAnsiTheme="minorEastAsia" w:eastAsiaTheme="minorEastAsia" w:cstheme="minorEastAsia"/>
          <w:sz w:val="28"/>
          <w:szCs w:val="28"/>
          <w:highlight w:val="none"/>
          <w:lang w:eastAsia="zh-CN"/>
        </w:rPr>
        <w:t>取证</w:t>
      </w:r>
      <w:r>
        <w:rPr>
          <w:rFonts w:hint="eastAsia" w:asciiTheme="minorEastAsia" w:hAnsiTheme="minorEastAsia" w:eastAsiaTheme="minorEastAsia" w:cstheme="minorEastAsia"/>
          <w:sz w:val="28"/>
          <w:szCs w:val="28"/>
          <w:highlight w:val="none"/>
        </w:rPr>
        <w:t>有关投诉，并根据甲方要求及时处理。</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接受甲方按照本合同第</w:t>
      </w:r>
      <w:r>
        <w:rPr>
          <w:rFonts w:hint="eastAsia" w:asciiTheme="minorEastAsia" w:hAnsiTheme="minorEastAsia" w:eastAsiaTheme="minorEastAsia" w:cstheme="minorEastAsia"/>
          <w:color w:val="000000" w:themeColor="text1"/>
          <w:kern w:val="0"/>
          <w:sz w:val="28"/>
          <w:szCs w:val="28"/>
          <w:highlight w:val="none"/>
          <w:lang w:eastAsia="zh-CN"/>
          <w14:textFill>
            <w14:solidFill>
              <w14:schemeClr w14:val="tx1"/>
            </w14:solidFill>
          </w14:textFill>
        </w:rPr>
        <w:t>六</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条</w:t>
      </w:r>
      <w:r>
        <w:rPr>
          <w:rFonts w:hint="eastAsia" w:asciiTheme="minorEastAsia" w:hAnsiTheme="minorEastAsia" w:eastAsiaTheme="minorEastAsia" w:cstheme="minorEastAsia"/>
          <w:color w:val="000000" w:themeColor="text1"/>
          <w:kern w:val="0"/>
          <w:sz w:val="28"/>
          <w:szCs w:val="28"/>
          <w:highlight w:val="none"/>
          <w:lang w:eastAsia="zh-CN"/>
          <w14:textFill>
            <w14:solidFill>
              <w14:schemeClr w14:val="tx1"/>
            </w14:solidFill>
          </w14:textFill>
        </w:rPr>
        <w:t>服务</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考核评定</w:t>
      </w:r>
      <w:r>
        <w:rPr>
          <w:rFonts w:hint="eastAsia" w:asciiTheme="minorEastAsia" w:hAnsiTheme="minorEastAsia" w:eastAsiaTheme="minorEastAsia" w:cstheme="minorEastAsia"/>
          <w:color w:val="000000" w:themeColor="text1"/>
          <w:kern w:val="0"/>
          <w:sz w:val="28"/>
          <w:szCs w:val="28"/>
          <w:highlight w:val="none"/>
          <w:lang w:eastAsia="zh-CN"/>
          <w14:textFill>
            <w14:solidFill>
              <w14:schemeClr w14:val="tx1"/>
            </w14:solidFill>
          </w14:textFill>
        </w:rPr>
        <w:t>。</w:t>
      </w:r>
    </w:p>
    <w:p w14:paraId="4F68230C">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zh-CN"/>
        </w:rPr>
      </w:pPr>
      <w:r>
        <w:rPr>
          <w:rFonts w:hint="eastAsia" w:asciiTheme="minorEastAsia" w:hAnsiTheme="minorEastAsia" w:eastAsiaTheme="minorEastAsia" w:cs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lang w:val="zh-CN"/>
        </w:rPr>
        <w:t>乙方必须取得合法经营执照及</w:t>
      </w:r>
      <w:r>
        <w:rPr>
          <w:rFonts w:hint="eastAsia" w:asciiTheme="minorEastAsia" w:hAnsiTheme="minorEastAsia" w:eastAsiaTheme="minorEastAsia" w:cstheme="minorEastAsia"/>
          <w:sz w:val="28"/>
          <w:szCs w:val="28"/>
          <w:highlight w:val="none"/>
        </w:rPr>
        <w:t>相应的资质</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工作人员必须持有有效的资格证书及岗位证书上岗</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zh-CN" w:eastAsia="zh-CN"/>
        </w:rPr>
        <w:t>以便配合各级领导检查，如因违反相关部门要求所发生的罚款、其他费用、责任均由乙方承担。</w:t>
      </w:r>
    </w:p>
    <w:p w14:paraId="2650F166">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4、</w:t>
      </w:r>
      <w:r>
        <w:rPr>
          <w:rFonts w:hint="eastAsia" w:asciiTheme="minorEastAsia" w:hAnsiTheme="minorEastAsia" w:eastAsiaTheme="minorEastAsia" w:cstheme="minorEastAsia"/>
          <w:sz w:val="28"/>
          <w:szCs w:val="28"/>
          <w:highlight w:val="none"/>
        </w:rPr>
        <w:t>乙方应保证派往甲方提供服务的人员身体健康，</w:t>
      </w:r>
      <w:r>
        <w:rPr>
          <w:rFonts w:hint="eastAsia" w:asciiTheme="minorEastAsia" w:hAnsiTheme="minorEastAsia" w:eastAsiaTheme="minorEastAsia" w:cstheme="minorEastAsia"/>
          <w:sz w:val="28"/>
          <w:szCs w:val="28"/>
          <w:highlight w:val="none"/>
          <w:lang w:val="en-US" w:eastAsia="zh-CN"/>
        </w:rPr>
        <w:t>并</w:t>
      </w:r>
      <w:r>
        <w:rPr>
          <w:rFonts w:hint="eastAsia" w:asciiTheme="minorEastAsia" w:hAnsiTheme="minorEastAsia" w:eastAsiaTheme="minorEastAsia" w:cstheme="minorEastAsia"/>
          <w:sz w:val="28"/>
          <w:szCs w:val="28"/>
          <w:highlight w:val="none"/>
        </w:rPr>
        <w:t>取得卫生防疫部门健康证。</w:t>
      </w:r>
      <w:r>
        <w:rPr>
          <w:rFonts w:hint="eastAsia" w:asciiTheme="minorEastAsia" w:hAnsiTheme="minorEastAsia" w:eastAsiaTheme="minorEastAsia" w:cstheme="minorEastAsia"/>
          <w:sz w:val="28"/>
          <w:szCs w:val="28"/>
          <w:highlight w:val="none"/>
          <w:lang w:eastAsia="zh-CN"/>
        </w:rPr>
        <w:t>服务人员</w:t>
      </w:r>
      <w:r>
        <w:rPr>
          <w:rFonts w:hint="eastAsia" w:asciiTheme="minorEastAsia" w:hAnsiTheme="minorEastAsia" w:eastAsiaTheme="minorEastAsia" w:cstheme="minorEastAsia"/>
          <w:sz w:val="28"/>
          <w:szCs w:val="28"/>
          <w:highlight w:val="none"/>
        </w:rPr>
        <w:t>工作时要着统一样式</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标识的工作装</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业务素质高，职业道德好，无不适应服务工作的传染性疾病。</w:t>
      </w:r>
    </w:p>
    <w:p w14:paraId="3555CDC8">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5、</w:t>
      </w:r>
      <w:r>
        <w:rPr>
          <w:rFonts w:hint="eastAsia" w:asciiTheme="minorEastAsia" w:hAnsiTheme="minorEastAsia" w:eastAsiaTheme="minorEastAsia" w:cstheme="minorEastAsia"/>
          <w:sz w:val="28"/>
          <w:szCs w:val="28"/>
          <w:highlight w:val="none"/>
        </w:rPr>
        <w:t>乙方应加强对服务人员的教育和管理，定期或不定期进行检查督导</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保证</w:t>
      </w:r>
      <w:r>
        <w:rPr>
          <w:rFonts w:hint="eastAsia" w:asciiTheme="minorEastAsia" w:hAnsiTheme="minorEastAsia" w:eastAsiaTheme="minorEastAsia" w:cstheme="minorEastAsia"/>
          <w:color w:val="000000" w:themeColor="text1"/>
          <w:kern w:val="0"/>
          <w:sz w:val="28"/>
          <w:szCs w:val="28"/>
          <w:highlight w:val="none"/>
          <w:lang w:eastAsia="zh-CN"/>
          <w14:textFill>
            <w14:solidFill>
              <w14:schemeClr w14:val="tx1"/>
            </w14:solidFill>
          </w14:textFill>
        </w:rPr>
        <w:t>每月不少于1次派出</w:t>
      </w:r>
      <w:r>
        <w:rPr>
          <w:rFonts w:hint="eastAsia" w:asciiTheme="minorEastAsia" w:hAnsiTheme="minorEastAsia" w:eastAsiaTheme="minorEastAsia" w:cstheme="minorEastAsia"/>
          <w:color w:val="000000"/>
          <w:kern w:val="0"/>
          <w:sz w:val="28"/>
          <w:szCs w:val="28"/>
          <w:highlight w:val="none"/>
          <w:lang w:eastAsia="zh-CN"/>
        </w:rPr>
        <w:t>公司高级管理人员同甲方项目负责人沟通工作，</w:t>
      </w:r>
      <w:r>
        <w:rPr>
          <w:rFonts w:hint="eastAsia" w:asciiTheme="minorEastAsia" w:hAnsiTheme="minorEastAsia" w:eastAsiaTheme="minorEastAsia" w:cstheme="minorEastAsia"/>
          <w:sz w:val="28"/>
          <w:szCs w:val="28"/>
          <w:highlight w:val="none"/>
          <w:lang w:val="en-US" w:eastAsia="zh-CN"/>
        </w:rPr>
        <w:t>征求甲方</w:t>
      </w:r>
      <w:r>
        <w:rPr>
          <w:rFonts w:hint="eastAsia" w:asciiTheme="minorEastAsia" w:hAnsiTheme="minorEastAsia" w:eastAsiaTheme="minorEastAsia" w:cstheme="minorEastAsia"/>
          <w:sz w:val="28"/>
          <w:szCs w:val="28"/>
          <w:highlight w:val="none"/>
        </w:rPr>
        <w:t>意见和建议，及时处理存在的问题，</w:t>
      </w:r>
      <w:r>
        <w:rPr>
          <w:rFonts w:hint="eastAsia" w:asciiTheme="minorEastAsia" w:hAnsiTheme="minorEastAsia" w:eastAsiaTheme="minorEastAsia" w:cstheme="minorEastAsia"/>
          <w:sz w:val="28"/>
          <w:szCs w:val="28"/>
          <w:highlight w:val="none"/>
          <w:lang w:val="zh-CN"/>
        </w:rPr>
        <w:t>接受甲方业务指导，</w:t>
      </w:r>
      <w:r>
        <w:rPr>
          <w:rFonts w:hint="eastAsia" w:asciiTheme="minorEastAsia" w:hAnsiTheme="minorEastAsia" w:eastAsiaTheme="minorEastAsia" w:cstheme="minorEastAsia"/>
          <w:sz w:val="28"/>
          <w:szCs w:val="28"/>
          <w:highlight w:val="none"/>
        </w:rPr>
        <w:t>确保服务符合</w:t>
      </w:r>
      <w:r>
        <w:rPr>
          <w:rFonts w:hint="eastAsia" w:asciiTheme="minorEastAsia" w:hAnsiTheme="minorEastAsia" w:eastAsiaTheme="minorEastAsia" w:cstheme="minorEastAsia"/>
          <w:sz w:val="28"/>
          <w:szCs w:val="28"/>
          <w:highlight w:val="none"/>
          <w:lang w:val="en-US" w:eastAsia="zh-CN"/>
        </w:rPr>
        <w:t>服务</w:t>
      </w:r>
      <w:r>
        <w:rPr>
          <w:rFonts w:hint="eastAsia" w:asciiTheme="minorEastAsia" w:hAnsiTheme="minorEastAsia" w:eastAsiaTheme="minorEastAsia" w:cstheme="minorEastAsia"/>
          <w:sz w:val="28"/>
          <w:szCs w:val="28"/>
          <w:highlight w:val="none"/>
        </w:rPr>
        <w:t>标准。</w:t>
      </w:r>
      <w:r>
        <w:rPr>
          <w:rFonts w:hint="eastAsia" w:asciiTheme="minorEastAsia" w:hAnsiTheme="minorEastAsia" w:eastAsiaTheme="minorEastAsia" w:cstheme="minorEastAsia"/>
          <w:color w:val="000000"/>
          <w:kern w:val="0"/>
          <w:sz w:val="28"/>
          <w:szCs w:val="28"/>
          <w:highlight w:val="none"/>
        </w:rPr>
        <w:t>乙方提供服务的人员必须保持相对稳定，主管（含主管）以上管理人员更换须经甲方同意。</w:t>
      </w:r>
    </w:p>
    <w:p w14:paraId="74A8C043">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乙方要做好员工岗前培训、在职培训及安全普及等工作，培训工作每月至少一次，并做好相关记录</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乙方相关人员除参加本部门的岗位培训外，须参加</w:t>
      </w:r>
      <w:r>
        <w:rPr>
          <w:rFonts w:hint="eastAsia" w:asciiTheme="minorEastAsia" w:hAnsiTheme="minorEastAsia" w:eastAsiaTheme="minorEastAsia" w:cstheme="minorEastAsia"/>
          <w:sz w:val="28"/>
          <w:szCs w:val="28"/>
          <w:highlight w:val="none"/>
          <w:lang w:eastAsia="zh-CN"/>
        </w:rPr>
        <w:t>项目</w:t>
      </w:r>
      <w:r>
        <w:rPr>
          <w:rFonts w:hint="eastAsia" w:asciiTheme="minorEastAsia" w:hAnsiTheme="minorEastAsia" w:eastAsiaTheme="minorEastAsia" w:cstheme="minorEastAsia"/>
          <w:sz w:val="28"/>
          <w:szCs w:val="28"/>
          <w:highlight w:val="none"/>
        </w:rPr>
        <w:t>组织的</w:t>
      </w:r>
      <w:r>
        <w:rPr>
          <w:rFonts w:hint="eastAsia" w:asciiTheme="minorEastAsia" w:hAnsiTheme="minorEastAsia" w:eastAsiaTheme="minorEastAsia" w:cstheme="minorEastAsia"/>
          <w:sz w:val="28"/>
          <w:szCs w:val="28"/>
          <w:highlight w:val="none"/>
          <w:lang w:eastAsia="zh-CN"/>
        </w:rPr>
        <w:t>各项</w:t>
      </w:r>
      <w:r>
        <w:rPr>
          <w:rFonts w:hint="eastAsia" w:asciiTheme="minorEastAsia" w:hAnsiTheme="minorEastAsia" w:eastAsiaTheme="minorEastAsia" w:cstheme="minorEastAsia"/>
          <w:sz w:val="28"/>
          <w:szCs w:val="28"/>
          <w:highlight w:val="none"/>
        </w:rPr>
        <w:t>培训。乙方员工应自觉保持自身良好形象，提高服务意识。</w:t>
      </w:r>
    </w:p>
    <w:p w14:paraId="2071C5FB">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7、</w:t>
      </w:r>
      <w:r>
        <w:rPr>
          <w:rFonts w:hint="eastAsia" w:asciiTheme="minorEastAsia" w:hAnsiTheme="minorEastAsia" w:eastAsiaTheme="minorEastAsia" w:cstheme="minorEastAsia"/>
          <w:sz w:val="28"/>
          <w:szCs w:val="28"/>
          <w:highlight w:val="none"/>
        </w:rPr>
        <w:t>完成</w:t>
      </w:r>
      <w:r>
        <w:rPr>
          <w:rFonts w:hint="eastAsia" w:asciiTheme="minorEastAsia" w:hAnsiTheme="minorEastAsia" w:eastAsiaTheme="minorEastAsia" w:cstheme="minorEastAsia"/>
          <w:sz w:val="28"/>
          <w:szCs w:val="28"/>
          <w:highlight w:val="none"/>
          <w:lang w:eastAsia="zh-CN"/>
        </w:rPr>
        <w:t>甲方</w:t>
      </w:r>
      <w:r>
        <w:rPr>
          <w:rFonts w:hint="eastAsia" w:asciiTheme="minorEastAsia" w:hAnsiTheme="minorEastAsia" w:eastAsiaTheme="minorEastAsia" w:cstheme="minorEastAsia"/>
          <w:sz w:val="28"/>
          <w:szCs w:val="28"/>
          <w:highlight w:val="none"/>
        </w:rPr>
        <w:t>交办的临时性任务，不得无故拖延。配合</w:t>
      </w:r>
      <w:r>
        <w:rPr>
          <w:rFonts w:hint="eastAsia" w:asciiTheme="minorEastAsia" w:hAnsiTheme="minorEastAsia" w:eastAsiaTheme="minorEastAsia" w:cstheme="minorEastAsia"/>
          <w:sz w:val="28"/>
          <w:szCs w:val="28"/>
          <w:highlight w:val="none"/>
          <w:lang w:eastAsia="zh-CN"/>
        </w:rPr>
        <w:t>甲方</w:t>
      </w:r>
      <w:r>
        <w:rPr>
          <w:rFonts w:hint="eastAsia" w:asciiTheme="minorEastAsia" w:hAnsiTheme="minorEastAsia" w:eastAsiaTheme="minorEastAsia" w:cstheme="minorEastAsia"/>
          <w:sz w:val="28"/>
          <w:szCs w:val="28"/>
          <w:highlight w:val="none"/>
        </w:rPr>
        <w:t>接受相关部门的监督和检查， 在服务期内发生各类检查（如上级部门来院检查、迎接评审等），乙方须无条件配合</w:t>
      </w:r>
      <w:r>
        <w:rPr>
          <w:rFonts w:hint="eastAsia" w:asciiTheme="minorEastAsia" w:hAnsiTheme="minorEastAsia" w:eastAsiaTheme="minorEastAsia" w:cstheme="minorEastAsia"/>
          <w:sz w:val="28"/>
          <w:szCs w:val="28"/>
          <w:highlight w:val="none"/>
          <w:lang w:eastAsia="zh-CN"/>
        </w:rPr>
        <w:t>甲方</w:t>
      </w:r>
      <w:r>
        <w:rPr>
          <w:rFonts w:hint="eastAsia" w:asciiTheme="minorEastAsia" w:hAnsiTheme="minorEastAsia" w:eastAsiaTheme="minorEastAsia" w:cstheme="minorEastAsia"/>
          <w:sz w:val="28"/>
          <w:szCs w:val="28"/>
          <w:highlight w:val="none"/>
        </w:rPr>
        <w:t>做好迎检工作，甲方不再向乙方另外支付加班费。</w:t>
      </w:r>
    </w:p>
    <w:p w14:paraId="70FB482D">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8、</w:t>
      </w:r>
      <w:r>
        <w:rPr>
          <w:rFonts w:hint="eastAsia" w:asciiTheme="minorEastAsia" w:hAnsiTheme="minorEastAsia" w:eastAsiaTheme="minorEastAsia" w:cstheme="minorEastAsia"/>
          <w:sz w:val="28"/>
          <w:szCs w:val="28"/>
          <w:highlight w:val="none"/>
        </w:rPr>
        <w:t>未经甲方同意，乙方不得以任何形式转租、转让、抵押承包区域及承包合同内容，在承包区域内只从事甲方认可的承包工作；否则甲方有权单方面终止合同，并保留进一步追究乙方责任的权利。在承包期间，乙方任何重大变动或法律事宜均应及时通知甲方。</w:t>
      </w:r>
    </w:p>
    <w:p w14:paraId="77F01495">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9、</w:t>
      </w:r>
      <w:r>
        <w:rPr>
          <w:rFonts w:hint="eastAsia" w:asciiTheme="minorEastAsia" w:hAnsiTheme="minorEastAsia" w:eastAsiaTheme="minorEastAsia" w:cstheme="minorEastAsia"/>
          <w:sz w:val="28"/>
          <w:szCs w:val="28"/>
          <w:highlight w:val="none"/>
        </w:rPr>
        <w:t>乙方须建立本项目管理档案并负责及时记录有关变更情况，在合同期满时，乙方必须向甲方移交原委托管理的全部管理档案资料、财产等</w:t>
      </w:r>
      <w:r>
        <w:rPr>
          <w:rFonts w:hint="eastAsia" w:asciiTheme="minorEastAsia" w:hAnsiTheme="minorEastAsia" w:eastAsiaTheme="minorEastAsia" w:cstheme="minorEastAsia"/>
          <w:sz w:val="28"/>
          <w:szCs w:val="28"/>
          <w:highlight w:val="none"/>
          <w:lang w:eastAsia="zh-CN"/>
        </w:rPr>
        <w:t>。</w:t>
      </w:r>
    </w:p>
    <w:p w14:paraId="3312A5E3">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乙方要教育服务人员具有高度责任心，文明操作</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爱护甲方设施和物品，如因人为损坏，乙方应予以赔偿。</w:t>
      </w:r>
    </w:p>
    <w:p w14:paraId="2F297BBD">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11、在合同服务期限内</w:t>
      </w:r>
      <w:r>
        <w:rPr>
          <w:rFonts w:hint="eastAsia" w:asciiTheme="minorEastAsia" w:hAnsiTheme="minorEastAsia" w:eastAsiaTheme="minorEastAsia" w:cstheme="minorEastAsia"/>
          <w:sz w:val="28"/>
          <w:szCs w:val="28"/>
          <w:highlight w:val="none"/>
        </w:rPr>
        <w:t>,乙方派遣的人员因执行本合同约定的事务与任何第三方发生纠纷,或造成他人伤亡的,均由乙方负责解决,所产生的赔偿费用,由乙方承担。</w:t>
      </w:r>
    </w:p>
    <w:p w14:paraId="102D9D5C">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12、在合同服务期限内乙方全部服务人员发生的工伤、意外伤害、伤亡或财产损失等一切安全事故以及所有纠纷的全部责任与相关费用，都由乙方承担和处理，与甲方无关。在安全事故、劳动纠纷发生的当月甲方有权停止支付乙方服务费，直至事故、纠纷处理或损失赔偿完毕后，恢复正常支付程序。</w:t>
      </w:r>
    </w:p>
    <w:p w14:paraId="7B45BCA4">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13</w:t>
      </w:r>
      <w:r>
        <w:rPr>
          <w:rFonts w:hint="eastAsia" w:asciiTheme="minorEastAsia" w:hAnsiTheme="minorEastAsia" w:eastAsiaTheme="minorEastAsia" w:cstheme="minorEastAsia"/>
          <w:sz w:val="28"/>
          <w:szCs w:val="28"/>
          <w:highlight w:val="none"/>
        </w:rPr>
        <w:t>、乙方与其服务人员</w:t>
      </w:r>
      <w:r>
        <w:rPr>
          <w:rFonts w:hint="eastAsia" w:asciiTheme="minorEastAsia" w:hAnsiTheme="minorEastAsia" w:eastAsiaTheme="minorEastAsia" w:cstheme="minorEastAsia"/>
          <w:sz w:val="28"/>
          <w:szCs w:val="28"/>
          <w:highlight w:val="none"/>
          <w:lang w:eastAsia="zh-CN"/>
        </w:rPr>
        <w:t>应签订劳动合同，</w:t>
      </w:r>
      <w:r>
        <w:rPr>
          <w:rFonts w:hint="eastAsia" w:asciiTheme="minorEastAsia" w:hAnsiTheme="minorEastAsia" w:eastAsiaTheme="minorEastAsia" w:cstheme="minorEastAsia"/>
          <w:sz w:val="28"/>
          <w:szCs w:val="28"/>
          <w:highlight w:val="none"/>
          <w:lang w:val="en-US" w:eastAsia="zh-CN"/>
        </w:rPr>
        <w:t>应</w:t>
      </w:r>
      <w:r>
        <w:rPr>
          <w:rFonts w:hint="eastAsia" w:asciiTheme="minorEastAsia" w:hAnsiTheme="minorEastAsia" w:eastAsiaTheme="minorEastAsia" w:cstheme="minorEastAsia"/>
          <w:sz w:val="28"/>
          <w:szCs w:val="28"/>
          <w:highlight w:val="none"/>
          <w:lang w:eastAsia="zh-CN"/>
        </w:rPr>
        <w:t>按时足额支付工作人员的工资、保险和基本的福利费用和其他待遇。乙方与其服务人员产生的各种争议、纠纷、</w:t>
      </w:r>
      <w:r>
        <w:rPr>
          <w:rFonts w:hint="eastAsia" w:asciiTheme="minorEastAsia" w:hAnsiTheme="minorEastAsia" w:eastAsiaTheme="minorEastAsia" w:cstheme="minorEastAsia"/>
          <w:sz w:val="28"/>
          <w:szCs w:val="28"/>
          <w:highlight w:val="none"/>
        </w:rPr>
        <w:t>索赔</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诉求</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包括但不限于劳动纠纷</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或受到行政部门的管制或处罚，均由乙方负责解决并全额赔偿。</w:t>
      </w:r>
    </w:p>
    <w:p w14:paraId="6026EF9D">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14、</w:t>
      </w:r>
      <w:r>
        <w:rPr>
          <w:rFonts w:hint="eastAsia" w:asciiTheme="minorEastAsia" w:hAnsiTheme="minorEastAsia" w:eastAsiaTheme="minorEastAsia" w:cstheme="minorEastAsia"/>
          <w:sz w:val="28"/>
          <w:szCs w:val="28"/>
          <w:highlight w:val="none"/>
        </w:rPr>
        <w:t>工作期间由于乙方工作人员处理不当引起纠纷,乙方公司出面协调处理,甲方不负责处理纠纷,如果当事人对乙方公司的处理意见不满意,导致媒体、电视台等新闻</w:t>
      </w:r>
      <w:r>
        <w:rPr>
          <w:rFonts w:hint="eastAsia" w:asciiTheme="minorEastAsia" w:hAnsiTheme="minorEastAsia" w:eastAsiaTheme="minorEastAsia" w:cstheme="minorEastAsia"/>
          <w:sz w:val="28"/>
          <w:szCs w:val="28"/>
          <w:highlight w:val="none"/>
          <w:lang w:eastAsia="zh-CN"/>
        </w:rPr>
        <w:t>平台</w:t>
      </w:r>
      <w:r>
        <w:rPr>
          <w:rFonts w:hint="eastAsia" w:asciiTheme="minorEastAsia" w:hAnsiTheme="minorEastAsia" w:eastAsiaTheme="minorEastAsia" w:cstheme="minorEastAsia"/>
          <w:sz w:val="28"/>
          <w:szCs w:val="28"/>
          <w:highlight w:val="none"/>
        </w:rPr>
        <w:t>的曝光,甲方有权追究由此对甲方带来的损失及影响。</w:t>
      </w:r>
    </w:p>
    <w:p w14:paraId="6D38E140">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15、</w:t>
      </w:r>
      <w:r>
        <w:rPr>
          <w:rFonts w:hint="eastAsia" w:asciiTheme="minorEastAsia" w:hAnsiTheme="minorEastAsia" w:eastAsiaTheme="minorEastAsia" w:cstheme="minorEastAsia"/>
          <w:sz w:val="28"/>
          <w:szCs w:val="28"/>
          <w:highlight w:val="none"/>
          <w:lang w:eastAsia="zh-CN"/>
        </w:rPr>
        <w:t>在乙方执行业务过程中,如发现任何有可能危害项目服务地的事件,即使不属乙方业务范围之内,乙方也有责任采取规定限度内的合法行为以避免或及时终止该危害事件的发生或继续,同时立即</w:t>
      </w:r>
      <w:r>
        <w:rPr>
          <w:rFonts w:hint="eastAsia" w:asciiTheme="minorEastAsia" w:hAnsiTheme="minorEastAsia" w:eastAsiaTheme="minorEastAsia" w:cstheme="minorEastAsia"/>
          <w:sz w:val="28"/>
          <w:szCs w:val="28"/>
          <w:highlight w:val="none"/>
          <w:lang w:eastAsia="zh-CN"/>
        </w:rPr>
        <w:fldChar w:fldCharType="begin"/>
      </w:r>
      <w:r>
        <w:rPr>
          <w:rFonts w:hint="eastAsia" w:asciiTheme="minorEastAsia" w:hAnsiTheme="minorEastAsia" w:eastAsiaTheme="minorEastAsia" w:cstheme="minorEastAsia"/>
          <w:sz w:val="28"/>
          <w:szCs w:val="28"/>
          <w:highlight w:val="none"/>
          <w:lang w:eastAsia="zh-CN"/>
        </w:rPr>
        <w:instrText xml:space="preserve"> HYPERLINK "http://www.fdcew.com/gw/List_202.html" \t "_blank" </w:instrText>
      </w:r>
      <w:r>
        <w:rPr>
          <w:rFonts w:hint="eastAsia" w:asciiTheme="minorEastAsia" w:hAnsiTheme="minorEastAsia" w:eastAsiaTheme="minorEastAsia" w:cstheme="minorEastAsia"/>
          <w:sz w:val="28"/>
          <w:szCs w:val="28"/>
          <w:highlight w:val="none"/>
          <w:lang w:eastAsia="zh-CN"/>
        </w:rPr>
        <w:fldChar w:fldCharType="separate"/>
      </w:r>
      <w:r>
        <w:rPr>
          <w:rFonts w:hint="eastAsia" w:asciiTheme="minorEastAsia" w:hAnsiTheme="minorEastAsia" w:eastAsiaTheme="minorEastAsia" w:cstheme="minorEastAsia"/>
          <w:sz w:val="28"/>
          <w:szCs w:val="28"/>
          <w:highlight w:val="none"/>
          <w:lang w:eastAsia="zh-CN"/>
        </w:rPr>
        <w:t>报告</w:t>
      </w:r>
      <w:r>
        <w:rPr>
          <w:rFonts w:hint="eastAsia" w:asciiTheme="minorEastAsia" w:hAnsiTheme="minorEastAsia" w:eastAsiaTheme="minorEastAsia" w:cstheme="minorEastAsia"/>
          <w:sz w:val="28"/>
          <w:szCs w:val="28"/>
          <w:highlight w:val="none"/>
          <w:lang w:eastAsia="zh-CN"/>
        </w:rPr>
        <w:fldChar w:fldCharType="end"/>
      </w:r>
      <w:r>
        <w:rPr>
          <w:rFonts w:hint="eastAsia" w:asciiTheme="minorEastAsia" w:hAnsiTheme="minorEastAsia" w:eastAsiaTheme="minorEastAsia" w:cstheme="minorEastAsia"/>
          <w:sz w:val="28"/>
          <w:szCs w:val="28"/>
          <w:highlight w:val="none"/>
          <w:lang w:eastAsia="zh-CN"/>
        </w:rPr>
        <w:t>甲方有关人员。</w:t>
      </w:r>
    </w:p>
    <w:p w14:paraId="5AE1FC78">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16、</w:t>
      </w:r>
      <w:r>
        <w:rPr>
          <w:rFonts w:hint="eastAsia" w:asciiTheme="minorEastAsia" w:hAnsiTheme="minorEastAsia" w:eastAsiaTheme="minorEastAsia" w:cstheme="minorEastAsia"/>
          <w:sz w:val="28"/>
          <w:szCs w:val="28"/>
          <w:highlight w:val="none"/>
        </w:rPr>
        <w:t>乙方应教育</w:t>
      </w:r>
      <w:r>
        <w:rPr>
          <w:rFonts w:hint="eastAsia" w:asciiTheme="minorEastAsia" w:hAnsiTheme="minorEastAsia" w:eastAsiaTheme="minorEastAsia" w:cstheme="minorEastAsia"/>
          <w:sz w:val="28"/>
          <w:szCs w:val="28"/>
          <w:highlight w:val="none"/>
          <w:lang w:eastAsia="zh-CN"/>
        </w:rPr>
        <w:t>所有服务</w:t>
      </w:r>
      <w:r>
        <w:rPr>
          <w:rFonts w:hint="eastAsia" w:asciiTheme="minorEastAsia" w:hAnsiTheme="minorEastAsia" w:eastAsiaTheme="minorEastAsia" w:cstheme="minorEastAsia"/>
          <w:sz w:val="28"/>
          <w:szCs w:val="28"/>
          <w:highlight w:val="none"/>
        </w:rPr>
        <w:t>人员遵守</w:t>
      </w:r>
      <w:r>
        <w:rPr>
          <w:rFonts w:hint="eastAsia" w:asciiTheme="minorEastAsia" w:hAnsiTheme="minorEastAsia" w:eastAsiaTheme="minorEastAsia" w:cstheme="minorEastAsia"/>
          <w:sz w:val="28"/>
          <w:szCs w:val="28"/>
          <w:highlight w:val="none"/>
          <w:lang w:eastAsia="zh-CN"/>
        </w:rPr>
        <w:t>项目</w:t>
      </w:r>
      <w:r>
        <w:rPr>
          <w:rFonts w:hint="eastAsia" w:asciiTheme="minorEastAsia" w:hAnsiTheme="minorEastAsia" w:eastAsiaTheme="minorEastAsia" w:cstheme="minorEastAsia"/>
          <w:sz w:val="28"/>
          <w:szCs w:val="28"/>
          <w:highlight w:val="none"/>
        </w:rPr>
        <w:t>有关制度和管理要求，</w:t>
      </w:r>
      <w:r>
        <w:rPr>
          <w:rFonts w:hint="eastAsia" w:asciiTheme="minorEastAsia" w:hAnsiTheme="minorEastAsia" w:eastAsiaTheme="minorEastAsia" w:cstheme="minorEastAsia"/>
          <w:sz w:val="28"/>
          <w:szCs w:val="28"/>
          <w:highlight w:val="none"/>
          <w:lang w:eastAsia="zh-CN"/>
        </w:rPr>
        <w:t>操作当中不影响项目的正</w:t>
      </w:r>
      <w:r>
        <w:rPr>
          <w:rFonts w:hint="eastAsia" w:asciiTheme="minorEastAsia" w:hAnsiTheme="minorEastAsia" w:eastAsiaTheme="minorEastAsia" w:cstheme="minorEastAsia"/>
          <w:sz w:val="28"/>
          <w:szCs w:val="28"/>
          <w:highlight w:val="none"/>
        </w:rPr>
        <w:t>常工作</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自觉保守甲方</w:t>
      </w:r>
      <w:r>
        <w:rPr>
          <w:rFonts w:hint="eastAsia" w:asciiTheme="minorEastAsia" w:hAnsiTheme="minorEastAsia" w:eastAsiaTheme="minorEastAsia" w:cstheme="minorEastAsia"/>
          <w:sz w:val="28"/>
          <w:szCs w:val="28"/>
          <w:highlight w:val="none"/>
          <w:lang w:eastAsia="zh-CN"/>
        </w:rPr>
        <w:t>及项目</w:t>
      </w:r>
      <w:r>
        <w:rPr>
          <w:rFonts w:hint="eastAsia" w:asciiTheme="minorEastAsia" w:hAnsiTheme="minorEastAsia" w:eastAsiaTheme="minorEastAsia" w:cstheme="minorEastAsia"/>
          <w:sz w:val="28"/>
          <w:szCs w:val="28"/>
          <w:highlight w:val="none"/>
        </w:rPr>
        <w:t>秘密，</w:t>
      </w:r>
      <w:r>
        <w:rPr>
          <w:rFonts w:hint="eastAsia" w:asciiTheme="minorEastAsia" w:hAnsiTheme="minorEastAsia" w:eastAsiaTheme="minorEastAsia" w:cstheme="minorEastAsia"/>
          <w:sz w:val="28"/>
          <w:szCs w:val="28"/>
          <w:highlight w:val="none"/>
          <w:lang w:eastAsia="zh-CN"/>
        </w:rPr>
        <w:t>不向外传播项目内情况，本条款在本合同有效期内及终止后一直有效</w:t>
      </w:r>
      <w:r>
        <w:rPr>
          <w:rFonts w:hint="eastAsia" w:asciiTheme="minorEastAsia" w:hAnsiTheme="minorEastAsia" w:eastAsiaTheme="minorEastAsia" w:cstheme="minorEastAsia"/>
          <w:sz w:val="28"/>
          <w:szCs w:val="28"/>
          <w:highlight w:val="none"/>
        </w:rPr>
        <w:t>。</w:t>
      </w:r>
    </w:p>
    <w:p w14:paraId="6B1F2EAE">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17、</w:t>
      </w:r>
      <w:r>
        <w:rPr>
          <w:rFonts w:hint="eastAsia" w:asciiTheme="minorEastAsia" w:hAnsiTheme="minorEastAsia" w:eastAsiaTheme="minorEastAsia" w:cstheme="minorEastAsia"/>
          <w:sz w:val="28"/>
          <w:szCs w:val="28"/>
          <w:highlight w:val="none"/>
        </w:rPr>
        <w:t>乙方在日常经营活动中出现的与甲方无关的、违反国家相关政策和规定的一切行为，均与甲方无关，甲方不承担任何相关的责任和义务。</w:t>
      </w:r>
    </w:p>
    <w:p w14:paraId="3C091A89">
      <w:pPr>
        <w:keepNext w:val="0"/>
        <w:keepLines w:val="0"/>
        <w:pageBreakBefore w:val="0"/>
        <w:widowControl w:val="0"/>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color w:val="000000" w:themeColor="text1"/>
          <w:kern w:val="0"/>
          <w:sz w:val="28"/>
          <w:szCs w:val="28"/>
          <w:highlight w:val="none"/>
          <w:lang w:val="en-US" w:eastAsia="zh-CN"/>
          <w14:textFill>
            <w14:solidFill>
              <w14:schemeClr w14:val="tx1"/>
            </w14:solidFill>
          </w14:textFill>
        </w:rPr>
        <w:t>18、</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乙方在</w:t>
      </w:r>
      <w:r>
        <w:rPr>
          <w:rFonts w:hint="eastAsia" w:asciiTheme="minorEastAsia" w:hAnsiTheme="minorEastAsia" w:eastAsiaTheme="minorEastAsia" w:cstheme="minorEastAsia"/>
          <w:color w:val="000000" w:themeColor="text1"/>
          <w:kern w:val="0"/>
          <w:sz w:val="28"/>
          <w:szCs w:val="28"/>
          <w:highlight w:val="none"/>
          <w:lang w:val="en-US" w:eastAsia="zh-CN"/>
          <w14:textFill>
            <w14:solidFill>
              <w14:schemeClr w14:val="tx1"/>
            </w14:solidFill>
          </w14:textFill>
        </w:rPr>
        <w:t>项目</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的服务流程、作息时间调整、人员岗位变动、增减人员等与甲方服务合同相关的业务，应及时</w:t>
      </w:r>
      <w:r>
        <w:rPr>
          <w:rFonts w:hint="eastAsia" w:asciiTheme="minorEastAsia" w:hAnsiTheme="minorEastAsia" w:eastAsiaTheme="minorEastAsia" w:cstheme="minorEastAsia"/>
          <w:color w:val="000000" w:themeColor="text1"/>
          <w:kern w:val="0"/>
          <w:sz w:val="28"/>
          <w:szCs w:val="28"/>
          <w:highlight w:val="none"/>
          <w:lang w:val="en-US" w:eastAsia="zh-CN"/>
          <w14:textFill>
            <w14:solidFill>
              <w14:schemeClr w14:val="tx1"/>
            </w14:solidFill>
          </w14:textFill>
        </w:rPr>
        <w:t>告知</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甲方，经甲方同意后再作调整</w:t>
      </w:r>
      <w:r>
        <w:rPr>
          <w:rFonts w:hint="eastAsia" w:asciiTheme="minorEastAsia" w:hAnsiTheme="minorEastAsia" w:eastAsiaTheme="minorEastAsia" w:cstheme="minorEastAsia"/>
          <w:color w:val="000000" w:themeColor="text1"/>
          <w:kern w:val="0"/>
          <w:sz w:val="28"/>
          <w:szCs w:val="28"/>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否则，根据情节轻重，接受甲方处罚</w:t>
      </w:r>
      <w:r>
        <w:rPr>
          <w:rFonts w:hint="eastAsia" w:asciiTheme="minorEastAsia" w:hAnsiTheme="minorEastAsia" w:eastAsiaTheme="minorEastAsia" w:cstheme="minorEastAsia"/>
          <w:color w:val="000000" w:themeColor="text1"/>
          <w:kern w:val="0"/>
          <w:sz w:val="28"/>
          <w:szCs w:val="28"/>
          <w:highlight w:val="none"/>
          <w:lang w:eastAsia="zh-CN"/>
          <w14:textFill>
            <w14:solidFill>
              <w14:schemeClr w14:val="tx1"/>
            </w14:solidFill>
          </w14:textFill>
        </w:rPr>
        <w:t>。</w:t>
      </w:r>
    </w:p>
    <w:p w14:paraId="4362EC8A">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zh-CN"/>
        </w:rPr>
      </w:pPr>
      <w:r>
        <w:rPr>
          <w:rFonts w:hint="eastAsia" w:asciiTheme="minorEastAsia" w:hAnsiTheme="minorEastAsia" w:eastAsiaTheme="minorEastAsia" w:cstheme="minorEastAsia"/>
          <w:sz w:val="28"/>
          <w:szCs w:val="28"/>
          <w:highlight w:val="none"/>
          <w:lang w:val="en-US" w:eastAsia="zh-CN"/>
        </w:rPr>
        <w:t>19、本合同终止后，新服务企业接管本项目之前，乙方有义务继续为甲方提供该服务项目，甲方应继续给付相应的服务费用，延期一般不超过90天。</w:t>
      </w:r>
    </w:p>
    <w:p w14:paraId="788BA391">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both"/>
        <w:textAlignment w:val="auto"/>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第六条 服务考核办法</w:t>
      </w:r>
    </w:p>
    <w:p w14:paraId="1CD97A7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both"/>
        <w:textAlignment w:val="auto"/>
        <w:rPr>
          <w:rFonts w:hint="eastAsia" w:asciiTheme="minorEastAsia" w:hAnsiTheme="minorEastAsia" w:eastAsiaTheme="minorEastAsia" w:cstheme="minorEastAsia"/>
          <w:b/>
          <w:bCs/>
          <w:color w:val="000000"/>
          <w:kern w:val="0"/>
          <w:sz w:val="28"/>
          <w:szCs w:val="28"/>
          <w:lang w:eastAsia="zh-CN"/>
        </w:rPr>
      </w:pPr>
      <w:r>
        <w:rPr>
          <w:rFonts w:hint="eastAsia" w:asciiTheme="minorEastAsia" w:hAnsiTheme="minorEastAsia" w:eastAsiaTheme="minorEastAsia" w:cstheme="minorEastAsia"/>
          <w:color w:val="000000"/>
          <w:kern w:val="0"/>
          <w:sz w:val="28"/>
          <w:szCs w:val="28"/>
          <w:lang w:eastAsia="zh-CN"/>
        </w:rPr>
        <w:t>一、乙方须按约定，实现目标管理，并接受甲方考核，甲方根据考核情况支付乙方服务费用。</w:t>
      </w:r>
      <w:r>
        <w:rPr>
          <w:rFonts w:hint="eastAsia" w:asciiTheme="minorEastAsia" w:hAnsiTheme="minorEastAsia" w:eastAsiaTheme="minorEastAsia" w:cstheme="minorEastAsia"/>
          <w:b/>
          <w:bCs/>
          <w:color w:val="000000"/>
          <w:kern w:val="0"/>
          <w:sz w:val="28"/>
          <w:szCs w:val="28"/>
          <w:lang w:eastAsia="zh-CN"/>
        </w:rPr>
        <w:t>甲方根据附件中《绩效评价及标准》进行考核，每月为一个考核周期，按</w:t>
      </w:r>
      <w:r>
        <w:rPr>
          <w:rFonts w:hint="eastAsia" w:asciiTheme="minorEastAsia" w:hAnsiTheme="minorEastAsia" w:eastAsiaTheme="minorEastAsia" w:cstheme="minorEastAsia"/>
          <w:b/>
          <w:bCs/>
          <w:color w:val="000000"/>
          <w:kern w:val="0"/>
          <w:sz w:val="28"/>
          <w:szCs w:val="28"/>
          <w:lang w:val="en-US" w:eastAsia="zh-CN"/>
        </w:rPr>
        <w:t>月</w:t>
      </w:r>
      <w:r>
        <w:rPr>
          <w:rFonts w:hint="eastAsia" w:asciiTheme="minorEastAsia" w:hAnsiTheme="minorEastAsia" w:eastAsiaTheme="minorEastAsia" w:cstheme="minorEastAsia"/>
          <w:b/>
          <w:bCs/>
          <w:color w:val="000000"/>
          <w:kern w:val="0"/>
          <w:sz w:val="28"/>
          <w:szCs w:val="28"/>
          <w:lang w:eastAsia="zh-CN"/>
        </w:rPr>
        <w:t>结算。且实际支付服务费的数额与服务方年度考核得分相结合。</w:t>
      </w:r>
    </w:p>
    <w:tbl>
      <w:tblPr>
        <w:tblStyle w:val="15"/>
        <w:tblW w:w="55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322"/>
        <w:gridCol w:w="6717"/>
      </w:tblGrid>
      <w:tr w14:paraId="19337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654" w:type="pct"/>
            <w:shd w:val="clear" w:color="auto" w:fill="93CDDD"/>
            <w:vAlign w:val="center"/>
          </w:tcPr>
          <w:p w14:paraId="49B8C34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每</w:t>
            </w:r>
            <w:r>
              <w:rPr>
                <w:rFonts w:hint="eastAsia" w:asciiTheme="minorEastAsia" w:hAnsiTheme="minorEastAsia" w:eastAsiaTheme="minorEastAsia" w:cstheme="minorEastAsia"/>
                <w:color w:val="000000"/>
                <w:kern w:val="0"/>
                <w:sz w:val="24"/>
                <w:szCs w:val="24"/>
                <w:lang w:val="en-US" w:eastAsia="zh-CN"/>
              </w:rPr>
              <w:t>月</w:t>
            </w:r>
            <w:r>
              <w:rPr>
                <w:rFonts w:hint="eastAsia" w:asciiTheme="minorEastAsia" w:hAnsiTheme="minorEastAsia" w:eastAsiaTheme="minorEastAsia" w:cstheme="minorEastAsia"/>
                <w:color w:val="000000"/>
                <w:kern w:val="0"/>
                <w:sz w:val="24"/>
                <w:szCs w:val="24"/>
                <w:lang w:eastAsia="zh-CN"/>
              </w:rPr>
              <w:t>综合考核评分</w:t>
            </w:r>
          </w:p>
        </w:tc>
        <w:tc>
          <w:tcPr>
            <w:tcW w:w="3345" w:type="pct"/>
            <w:shd w:val="clear" w:color="auto" w:fill="93CDDD"/>
            <w:vAlign w:val="center"/>
          </w:tcPr>
          <w:p w14:paraId="55BED25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支付服务费比例</w:t>
            </w:r>
          </w:p>
        </w:tc>
      </w:tr>
      <w:tr w14:paraId="7CBB9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1654" w:type="pct"/>
            <w:vAlign w:val="center"/>
          </w:tcPr>
          <w:p w14:paraId="68A7AF2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大于等于90分</w:t>
            </w:r>
          </w:p>
        </w:tc>
        <w:tc>
          <w:tcPr>
            <w:tcW w:w="3345" w:type="pct"/>
            <w:vAlign w:val="center"/>
          </w:tcPr>
          <w:p w14:paraId="7C66181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highlight w:val="none"/>
                <w:lang w:eastAsia="zh-CN"/>
              </w:rPr>
            </w:pPr>
            <w:r>
              <w:rPr>
                <w:rFonts w:hint="eastAsia" w:asciiTheme="minorEastAsia" w:hAnsiTheme="minorEastAsia" w:eastAsiaTheme="minorEastAsia" w:cstheme="minorEastAsia"/>
                <w:b w:val="0"/>
                <w:bCs w:val="0"/>
                <w:sz w:val="24"/>
                <w:szCs w:val="24"/>
                <w:highlight w:val="none"/>
              </w:rPr>
              <w:t>全额支付</w:t>
            </w:r>
            <w:r>
              <w:rPr>
                <w:rFonts w:hint="eastAsia" w:asciiTheme="minorEastAsia" w:hAnsiTheme="minorEastAsia" w:eastAsiaTheme="minorEastAsia" w:cstheme="minorEastAsia"/>
                <w:b w:val="0"/>
                <w:bCs w:val="0"/>
                <w:sz w:val="24"/>
                <w:szCs w:val="24"/>
                <w:highlight w:val="none"/>
                <w:lang w:val="en-US" w:eastAsia="zh-CN"/>
              </w:rPr>
              <w:t>月</w:t>
            </w:r>
            <w:r>
              <w:rPr>
                <w:rFonts w:hint="eastAsia" w:asciiTheme="minorEastAsia" w:hAnsiTheme="minorEastAsia" w:eastAsiaTheme="minorEastAsia" w:cstheme="minorEastAsia"/>
                <w:b w:val="0"/>
                <w:bCs w:val="0"/>
                <w:sz w:val="24"/>
                <w:szCs w:val="24"/>
                <w:highlight w:val="none"/>
              </w:rPr>
              <w:t>度服务费</w:t>
            </w:r>
          </w:p>
        </w:tc>
      </w:tr>
      <w:tr w14:paraId="482F7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1654" w:type="pct"/>
            <w:vAlign w:val="center"/>
          </w:tcPr>
          <w:p w14:paraId="32A00A2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小于90分，大于等于</w:t>
            </w:r>
            <w:r>
              <w:rPr>
                <w:rFonts w:hint="eastAsia" w:asciiTheme="minorEastAsia" w:hAnsiTheme="minorEastAsia" w:eastAsiaTheme="minorEastAsia" w:cstheme="minorEastAsia"/>
                <w:color w:val="000000"/>
                <w:kern w:val="0"/>
                <w:sz w:val="24"/>
                <w:szCs w:val="24"/>
                <w:lang w:val="en-US" w:eastAsia="zh-CN"/>
              </w:rPr>
              <w:t>80</w:t>
            </w:r>
            <w:r>
              <w:rPr>
                <w:rFonts w:hint="eastAsia" w:asciiTheme="minorEastAsia" w:hAnsiTheme="minorEastAsia" w:eastAsiaTheme="minorEastAsia" w:cstheme="minorEastAsia"/>
                <w:color w:val="000000"/>
                <w:kern w:val="0"/>
                <w:sz w:val="24"/>
                <w:szCs w:val="24"/>
                <w:lang w:eastAsia="zh-CN"/>
              </w:rPr>
              <w:t>分</w:t>
            </w:r>
          </w:p>
        </w:tc>
        <w:tc>
          <w:tcPr>
            <w:tcW w:w="3345" w:type="pct"/>
            <w:vAlign w:val="center"/>
          </w:tcPr>
          <w:p w14:paraId="2915001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highlight w:val="none"/>
                <w:lang w:eastAsia="zh-CN"/>
              </w:rPr>
            </w:pPr>
            <w:r>
              <w:rPr>
                <w:rFonts w:hint="eastAsia" w:asciiTheme="minorEastAsia" w:hAnsiTheme="minorEastAsia" w:eastAsiaTheme="minorEastAsia" w:cstheme="minorEastAsia"/>
                <w:b w:val="0"/>
                <w:bCs w:val="0"/>
                <w:sz w:val="24"/>
                <w:szCs w:val="24"/>
                <w:highlight w:val="none"/>
              </w:rPr>
              <w:t>扣</w:t>
            </w:r>
            <w:r>
              <w:rPr>
                <w:rFonts w:hint="eastAsia" w:asciiTheme="minorEastAsia" w:hAnsiTheme="minorEastAsia" w:eastAsiaTheme="minorEastAsia" w:cstheme="minorEastAsia"/>
                <w:b w:val="0"/>
                <w:bCs w:val="0"/>
                <w:sz w:val="24"/>
                <w:szCs w:val="24"/>
                <w:highlight w:val="none"/>
                <w:lang w:val="en-US" w:eastAsia="zh-CN"/>
              </w:rPr>
              <w:t>月</w:t>
            </w:r>
            <w:r>
              <w:rPr>
                <w:rFonts w:hint="eastAsia" w:asciiTheme="minorEastAsia" w:hAnsiTheme="minorEastAsia" w:eastAsiaTheme="minorEastAsia" w:cstheme="minorEastAsia"/>
                <w:b w:val="0"/>
                <w:bCs w:val="0"/>
                <w:sz w:val="24"/>
                <w:szCs w:val="24"/>
                <w:highlight w:val="none"/>
              </w:rPr>
              <w:t>度应付服务费的5%</w:t>
            </w:r>
          </w:p>
        </w:tc>
      </w:tr>
      <w:tr w14:paraId="6B5E7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654" w:type="pct"/>
            <w:vAlign w:val="center"/>
          </w:tcPr>
          <w:p w14:paraId="2293B3F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小于</w:t>
            </w:r>
            <w:r>
              <w:rPr>
                <w:rFonts w:hint="eastAsia" w:asciiTheme="minorEastAsia" w:hAnsiTheme="minorEastAsia" w:eastAsiaTheme="minorEastAsia" w:cstheme="minorEastAsia"/>
                <w:color w:val="000000"/>
                <w:kern w:val="0"/>
                <w:sz w:val="24"/>
                <w:szCs w:val="24"/>
                <w:lang w:val="en-US" w:eastAsia="zh-CN"/>
              </w:rPr>
              <w:t>8</w:t>
            </w:r>
            <w:r>
              <w:rPr>
                <w:rFonts w:hint="eastAsia" w:asciiTheme="minorEastAsia" w:hAnsiTheme="minorEastAsia" w:eastAsiaTheme="minorEastAsia" w:cstheme="minorEastAsia"/>
                <w:color w:val="000000"/>
                <w:kern w:val="0"/>
                <w:sz w:val="24"/>
                <w:szCs w:val="24"/>
                <w:lang w:eastAsia="zh-CN"/>
              </w:rPr>
              <w:t>0分，大于等于</w:t>
            </w:r>
            <w:r>
              <w:rPr>
                <w:rFonts w:hint="eastAsia" w:asciiTheme="minorEastAsia" w:hAnsiTheme="minorEastAsia" w:eastAsiaTheme="minorEastAsia" w:cstheme="minorEastAsia"/>
                <w:color w:val="000000"/>
                <w:kern w:val="0"/>
                <w:sz w:val="24"/>
                <w:szCs w:val="24"/>
                <w:lang w:val="en-US" w:eastAsia="zh-CN"/>
              </w:rPr>
              <w:t>70</w:t>
            </w:r>
            <w:r>
              <w:rPr>
                <w:rFonts w:hint="eastAsia" w:asciiTheme="minorEastAsia" w:hAnsiTheme="minorEastAsia" w:eastAsiaTheme="minorEastAsia" w:cstheme="minorEastAsia"/>
                <w:color w:val="000000"/>
                <w:kern w:val="0"/>
                <w:sz w:val="24"/>
                <w:szCs w:val="24"/>
                <w:lang w:eastAsia="zh-CN"/>
              </w:rPr>
              <w:t>分</w:t>
            </w:r>
          </w:p>
        </w:tc>
        <w:tc>
          <w:tcPr>
            <w:tcW w:w="3345" w:type="pct"/>
            <w:vAlign w:val="center"/>
          </w:tcPr>
          <w:p w14:paraId="755B2E3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highlight w:val="none"/>
                <w:lang w:eastAsia="zh-CN"/>
              </w:rPr>
            </w:pPr>
            <w:r>
              <w:rPr>
                <w:rFonts w:hint="eastAsia" w:asciiTheme="minorEastAsia" w:hAnsiTheme="minorEastAsia" w:eastAsiaTheme="minorEastAsia" w:cstheme="minorEastAsia"/>
                <w:b w:val="0"/>
                <w:bCs w:val="0"/>
                <w:sz w:val="24"/>
                <w:szCs w:val="24"/>
                <w:highlight w:val="none"/>
              </w:rPr>
              <w:t>扣</w:t>
            </w:r>
            <w:r>
              <w:rPr>
                <w:rFonts w:hint="eastAsia" w:asciiTheme="minorEastAsia" w:hAnsiTheme="minorEastAsia" w:eastAsiaTheme="minorEastAsia" w:cstheme="minorEastAsia"/>
                <w:b w:val="0"/>
                <w:bCs w:val="0"/>
                <w:sz w:val="24"/>
                <w:szCs w:val="24"/>
                <w:highlight w:val="none"/>
                <w:lang w:val="en-US" w:eastAsia="zh-CN"/>
              </w:rPr>
              <w:t>月</w:t>
            </w:r>
            <w:r>
              <w:rPr>
                <w:rFonts w:hint="eastAsia" w:asciiTheme="minorEastAsia" w:hAnsiTheme="minorEastAsia" w:eastAsiaTheme="minorEastAsia" w:cstheme="minorEastAsia"/>
                <w:b w:val="0"/>
                <w:bCs w:val="0"/>
                <w:sz w:val="24"/>
                <w:szCs w:val="24"/>
                <w:highlight w:val="none"/>
              </w:rPr>
              <w:t>度应付服务费的10%</w:t>
            </w:r>
          </w:p>
        </w:tc>
      </w:tr>
      <w:tr w14:paraId="31AD2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654" w:type="pct"/>
            <w:vAlign w:val="center"/>
          </w:tcPr>
          <w:p w14:paraId="7F7D298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eastAsia="zh-CN"/>
              </w:rPr>
              <w:t>小于</w:t>
            </w:r>
            <w:r>
              <w:rPr>
                <w:rFonts w:hint="eastAsia" w:asciiTheme="minorEastAsia" w:hAnsiTheme="minorEastAsia" w:eastAsiaTheme="minorEastAsia" w:cstheme="minorEastAsia"/>
                <w:color w:val="000000"/>
                <w:kern w:val="0"/>
                <w:sz w:val="24"/>
                <w:szCs w:val="24"/>
                <w:lang w:val="en-US" w:eastAsia="zh-CN"/>
              </w:rPr>
              <w:t>70分</w:t>
            </w:r>
          </w:p>
        </w:tc>
        <w:tc>
          <w:tcPr>
            <w:tcW w:w="3345" w:type="pct"/>
            <w:vAlign w:val="center"/>
          </w:tcPr>
          <w:p w14:paraId="0BBEC6E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80" w:firstLineChars="200"/>
              <w:jc w:val="both"/>
              <w:textAlignment w:val="auto"/>
              <w:rPr>
                <w:rFonts w:hint="eastAsia" w:asciiTheme="minorEastAsia" w:hAnsiTheme="minorEastAsia" w:eastAsiaTheme="minorEastAsia" w:cstheme="minorEastAsia"/>
                <w:color w:val="000000"/>
                <w:kern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甲方</w:t>
            </w:r>
            <w:r>
              <w:rPr>
                <w:rFonts w:hint="eastAsia" w:asciiTheme="minorEastAsia" w:hAnsiTheme="minorEastAsia" w:eastAsiaTheme="minorEastAsia" w:cstheme="minorEastAsia"/>
                <w:b w:val="0"/>
                <w:bCs w:val="0"/>
                <w:sz w:val="24"/>
                <w:szCs w:val="24"/>
                <w:highlight w:val="none"/>
              </w:rPr>
              <w:t>将要求</w:t>
            </w:r>
            <w:r>
              <w:rPr>
                <w:rFonts w:hint="eastAsia" w:asciiTheme="minorEastAsia" w:hAnsiTheme="minorEastAsia" w:eastAsiaTheme="minorEastAsia" w:cstheme="minorEastAsia"/>
                <w:b w:val="0"/>
                <w:bCs w:val="0"/>
                <w:sz w:val="24"/>
                <w:szCs w:val="24"/>
                <w:highlight w:val="none"/>
                <w:lang w:eastAsia="zh-CN"/>
              </w:rPr>
              <w:t>乙方</w:t>
            </w:r>
            <w:r>
              <w:rPr>
                <w:rFonts w:hint="eastAsia" w:asciiTheme="minorEastAsia" w:hAnsiTheme="minorEastAsia" w:eastAsiaTheme="minorEastAsia" w:cstheme="minorEastAsia"/>
                <w:b w:val="0"/>
                <w:bCs w:val="0"/>
                <w:sz w:val="24"/>
                <w:szCs w:val="24"/>
                <w:highlight w:val="none"/>
              </w:rPr>
              <w:t>对相关工作进行限期整改，整改后经随机抽查达到良好情形的，扣</w:t>
            </w:r>
            <w:r>
              <w:rPr>
                <w:rFonts w:hint="eastAsia" w:asciiTheme="minorEastAsia" w:hAnsiTheme="minorEastAsia" w:eastAsiaTheme="minorEastAsia" w:cstheme="minorEastAsia"/>
                <w:b w:val="0"/>
                <w:bCs w:val="0"/>
                <w:sz w:val="24"/>
                <w:szCs w:val="24"/>
                <w:highlight w:val="none"/>
                <w:lang w:val="en-US" w:eastAsia="zh-CN"/>
              </w:rPr>
              <w:t>当期</w:t>
            </w:r>
            <w:r>
              <w:rPr>
                <w:rFonts w:hint="eastAsia" w:asciiTheme="minorEastAsia" w:hAnsiTheme="minorEastAsia" w:eastAsiaTheme="minorEastAsia" w:cstheme="minorEastAsia"/>
                <w:b w:val="0"/>
                <w:bCs w:val="0"/>
                <w:sz w:val="24"/>
                <w:szCs w:val="24"/>
                <w:highlight w:val="none"/>
              </w:rPr>
              <w:t>应付服务费的15%；经过限期整改仍达不到良好情形的或拒不整改的，</w:t>
            </w:r>
            <w:r>
              <w:rPr>
                <w:rFonts w:hint="eastAsia" w:asciiTheme="minorEastAsia" w:hAnsiTheme="minorEastAsia" w:eastAsiaTheme="minorEastAsia" w:cstheme="minorEastAsia"/>
                <w:b w:val="0"/>
                <w:bCs w:val="0"/>
                <w:sz w:val="24"/>
                <w:szCs w:val="24"/>
                <w:highlight w:val="none"/>
                <w:lang w:eastAsia="zh-CN"/>
              </w:rPr>
              <w:t>甲方</w:t>
            </w:r>
            <w:r>
              <w:rPr>
                <w:rFonts w:hint="eastAsia" w:asciiTheme="minorEastAsia" w:hAnsiTheme="minorEastAsia" w:eastAsiaTheme="minorEastAsia" w:cstheme="minorEastAsia"/>
                <w:b w:val="0"/>
                <w:bCs w:val="0"/>
                <w:sz w:val="24"/>
                <w:szCs w:val="24"/>
                <w:highlight w:val="none"/>
              </w:rPr>
              <w:t>有权终止合同，</w:t>
            </w:r>
            <w:r>
              <w:rPr>
                <w:rFonts w:hint="eastAsia" w:asciiTheme="minorEastAsia" w:hAnsiTheme="minorEastAsia" w:eastAsiaTheme="minorEastAsia" w:cstheme="minorEastAsia"/>
                <w:b w:val="0"/>
                <w:bCs w:val="0"/>
                <w:sz w:val="24"/>
                <w:szCs w:val="24"/>
                <w:highlight w:val="none"/>
                <w:lang w:eastAsia="zh-CN"/>
              </w:rPr>
              <w:t>甲方</w:t>
            </w:r>
            <w:r>
              <w:rPr>
                <w:rFonts w:hint="eastAsia" w:asciiTheme="minorEastAsia" w:hAnsiTheme="minorEastAsia" w:eastAsiaTheme="minorEastAsia" w:cstheme="minorEastAsia"/>
                <w:b w:val="0"/>
                <w:bCs w:val="0"/>
                <w:sz w:val="24"/>
                <w:szCs w:val="24"/>
                <w:highlight w:val="none"/>
              </w:rPr>
              <w:t>相关损失由</w:t>
            </w:r>
            <w:r>
              <w:rPr>
                <w:rFonts w:hint="eastAsia" w:asciiTheme="minorEastAsia" w:hAnsiTheme="minorEastAsia" w:eastAsiaTheme="minorEastAsia" w:cstheme="minorEastAsia"/>
                <w:b w:val="0"/>
                <w:bCs w:val="0"/>
                <w:sz w:val="24"/>
                <w:szCs w:val="24"/>
                <w:highlight w:val="none"/>
                <w:lang w:eastAsia="zh-CN"/>
              </w:rPr>
              <w:t>乙方</w:t>
            </w:r>
            <w:r>
              <w:rPr>
                <w:rFonts w:hint="eastAsia" w:asciiTheme="minorEastAsia" w:hAnsiTheme="minorEastAsia" w:eastAsiaTheme="minorEastAsia" w:cstheme="minorEastAsia"/>
                <w:b w:val="0"/>
                <w:bCs w:val="0"/>
                <w:sz w:val="24"/>
                <w:szCs w:val="24"/>
                <w:highlight w:val="none"/>
              </w:rPr>
              <w:t>承担。</w:t>
            </w:r>
          </w:p>
        </w:tc>
      </w:tr>
    </w:tbl>
    <w:p w14:paraId="4CF23DCC">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eastAsia="zh-CN"/>
        </w:rPr>
      </w:pPr>
      <w:r>
        <w:rPr>
          <w:rFonts w:hint="eastAsia" w:asciiTheme="minorEastAsia" w:hAnsiTheme="minorEastAsia" w:eastAsiaTheme="minorEastAsia" w:cstheme="minorEastAsia"/>
          <w:color w:val="000000"/>
          <w:kern w:val="0"/>
          <w:sz w:val="28"/>
          <w:szCs w:val="28"/>
          <w:lang w:eastAsia="zh-CN"/>
        </w:rPr>
        <w:t>二、</w:t>
      </w:r>
      <w:r>
        <w:rPr>
          <w:rFonts w:hint="eastAsia" w:asciiTheme="minorEastAsia" w:hAnsiTheme="minorEastAsia" w:eastAsiaTheme="minorEastAsia" w:cstheme="minorEastAsia"/>
          <w:color w:val="000000"/>
          <w:kern w:val="0"/>
          <w:sz w:val="28"/>
          <w:szCs w:val="28"/>
          <w:highlight w:val="none"/>
          <w:lang w:eastAsia="zh-CN"/>
        </w:rPr>
        <w:t>甲方</w:t>
      </w:r>
      <w:r>
        <w:rPr>
          <w:rFonts w:hint="eastAsia" w:asciiTheme="minorEastAsia" w:hAnsiTheme="minorEastAsia" w:eastAsiaTheme="minorEastAsia" w:cstheme="minorEastAsia"/>
          <w:color w:val="000000"/>
          <w:kern w:val="0"/>
          <w:sz w:val="28"/>
          <w:szCs w:val="28"/>
          <w:lang w:eastAsia="zh-CN"/>
        </w:rPr>
        <w:t>服务考核以甲方考核制度为准，考核制度解释权归甲方所有。</w:t>
      </w:r>
    </w:p>
    <w:p w14:paraId="3807DE0C">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inorEastAsia" w:hAnsiTheme="minorEastAsia" w:eastAsiaTheme="minorEastAsia" w:cstheme="minorEastAsia"/>
          <w:sz w:val="28"/>
          <w:szCs w:val="28"/>
          <w:lang w:val="zh-CN"/>
        </w:rPr>
      </w:pPr>
      <w:bookmarkStart w:id="37" w:name="_Toc6817_WPSOffice_Level1"/>
      <w:r>
        <w:rPr>
          <w:rFonts w:hint="eastAsia" w:asciiTheme="minorEastAsia" w:hAnsiTheme="minorEastAsia" w:eastAsiaTheme="minorEastAsia" w:cstheme="minorEastAsia"/>
          <w:sz w:val="28"/>
          <w:szCs w:val="28"/>
          <w:lang w:val="en-US" w:eastAsia="zh-CN"/>
        </w:rPr>
        <w:t xml:space="preserve">第七条  </w:t>
      </w:r>
      <w:r>
        <w:rPr>
          <w:rFonts w:hint="eastAsia" w:asciiTheme="minorEastAsia" w:hAnsiTheme="minorEastAsia" w:eastAsiaTheme="minorEastAsia" w:cstheme="minorEastAsia"/>
          <w:sz w:val="28"/>
          <w:szCs w:val="28"/>
          <w:lang w:val="zh-CN"/>
        </w:rPr>
        <w:t>违约责任</w:t>
      </w:r>
      <w:bookmarkEnd w:id="37"/>
    </w:p>
    <w:p w14:paraId="51A4B87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bookmarkStart w:id="38" w:name="_Toc27050_WPSOffice_Level1"/>
      <w:r>
        <w:rPr>
          <w:rFonts w:hint="eastAsia" w:asciiTheme="minorEastAsia" w:hAnsiTheme="minorEastAsia" w:eastAsiaTheme="minorEastAsia" w:cstheme="minorEastAsia"/>
          <w:sz w:val="28"/>
          <w:szCs w:val="28"/>
          <w:lang w:eastAsia="zh-CN"/>
        </w:rPr>
        <w:t>一、</w:t>
      </w:r>
      <w:r>
        <w:rPr>
          <w:rFonts w:hint="eastAsia" w:asciiTheme="minorEastAsia" w:hAnsiTheme="minorEastAsia" w:eastAsiaTheme="minorEastAsia" w:cstheme="minorEastAsia"/>
          <w:sz w:val="28"/>
          <w:szCs w:val="28"/>
        </w:rPr>
        <w:t>如果甲方不再承担该项目的服务，届时本合同自动解除，双方均不承担违约责任。</w:t>
      </w:r>
    </w:p>
    <w:p w14:paraId="3DA91A0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二、</w:t>
      </w:r>
      <w:r>
        <w:rPr>
          <w:rFonts w:hint="eastAsia" w:asciiTheme="minorEastAsia" w:hAnsiTheme="minorEastAsia" w:eastAsiaTheme="minorEastAsia" w:cstheme="minorEastAsia"/>
          <w:sz w:val="28"/>
          <w:szCs w:val="28"/>
        </w:rPr>
        <w:t>乙方有下列情形之一的,甲方可解除本合同,因乙方原因给甲方造成损失的,乙方应负赔偿责任,且甲方无须向乙方支付报酬:</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乙方擅自调离</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人员的</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乙方派遣的</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人员</w:t>
      </w:r>
      <w:r>
        <w:rPr>
          <w:rFonts w:hint="eastAsia" w:asciiTheme="minorEastAsia" w:hAnsiTheme="minorEastAsia" w:eastAsiaTheme="minorEastAsia" w:cstheme="minorEastAsia"/>
          <w:sz w:val="28"/>
          <w:szCs w:val="28"/>
          <w:lang w:eastAsia="zh-CN"/>
        </w:rPr>
        <w:t>缺岗或</w:t>
      </w:r>
      <w:r>
        <w:rPr>
          <w:rFonts w:hint="eastAsia" w:asciiTheme="minorEastAsia" w:hAnsiTheme="minorEastAsia" w:eastAsiaTheme="minorEastAsia" w:cstheme="minorEastAsia"/>
          <w:sz w:val="28"/>
          <w:szCs w:val="28"/>
        </w:rPr>
        <w:t>无故离岗</w:t>
      </w:r>
      <w:r>
        <w:rPr>
          <w:rFonts w:hint="eastAsia" w:asciiTheme="minorEastAsia" w:hAnsiTheme="minorEastAsia" w:eastAsiaTheme="minorEastAsia" w:cstheme="minorEastAsia"/>
          <w:sz w:val="28"/>
          <w:szCs w:val="28"/>
          <w:lang w:val="en-US" w:eastAsia="zh-CN"/>
        </w:rPr>
        <w:t>24小时</w:t>
      </w:r>
      <w:r>
        <w:rPr>
          <w:rFonts w:hint="eastAsia" w:asciiTheme="minorEastAsia" w:hAnsiTheme="minorEastAsia" w:eastAsiaTheme="minorEastAsia" w:cstheme="minorEastAsia"/>
          <w:sz w:val="28"/>
          <w:szCs w:val="28"/>
        </w:rPr>
        <w:t>以上的</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乙方派遣的</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人员不能完成本合同约定事务,经乙方撤换后,重新派遣的</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人员仍不能完成本合同约定事务的</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lang w:val="en-US" w:eastAsia="zh-CN"/>
        </w:rPr>
        <w:t xml:space="preserve">    4、</w:t>
      </w:r>
      <w:r>
        <w:rPr>
          <w:rFonts w:hint="eastAsia" w:asciiTheme="minorEastAsia" w:hAnsiTheme="minorEastAsia" w:eastAsiaTheme="minorEastAsia" w:cstheme="minorEastAsia"/>
          <w:sz w:val="28"/>
          <w:szCs w:val="28"/>
        </w:rPr>
        <w:t>因乙方派遣的</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人员故意或者过失给甲方造成损失的</w:t>
      </w:r>
      <w:r>
        <w:rPr>
          <w:rFonts w:hint="eastAsia" w:asciiTheme="minorEastAsia" w:hAnsiTheme="minorEastAsia" w:eastAsiaTheme="minorEastAsia" w:cstheme="minorEastAsia"/>
          <w:sz w:val="28"/>
          <w:szCs w:val="28"/>
          <w:lang w:eastAsia="zh-CN"/>
        </w:rPr>
        <w:t>；</w:t>
      </w:r>
    </w:p>
    <w:p w14:paraId="4240554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5、乙方违反本合同约定的义务，未能在合同生效前取得相应的资质的，造成甲方经济损失的，乙方应给予甲方经济赔偿。</w:t>
      </w:r>
      <w:r>
        <w:rPr>
          <w:rFonts w:hint="eastAsia" w:asciiTheme="minorEastAsia" w:hAnsiTheme="minorEastAsia" w:eastAsiaTheme="minorEastAsia" w:cstheme="minorEastAsia"/>
          <w:sz w:val="28"/>
          <w:szCs w:val="28"/>
          <w:lang w:val="en-US" w:eastAsia="zh-CN"/>
        </w:rPr>
        <w:br w:type="textWrapping"/>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乙方提供的</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达不到甲方要求，限期</w:t>
      </w:r>
      <w:r>
        <w:rPr>
          <w:rFonts w:hint="eastAsia" w:asciiTheme="minorEastAsia" w:hAnsiTheme="minorEastAsia" w:eastAsiaTheme="minorEastAsia" w:cstheme="minorEastAsia"/>
          <w:sz w:val="28"/>
          <w:szCs w:val="28"/>
          <w:lang w:val="en-US" w:eastAsia="zh-CN"/>
        </w:rPr>
        <w:t>30天</w:t>
      </w:r>
      <w:r>
        <w:rPr>
          <w:rFonts w:hint="eastAsia" w:asciiTheme="minorEastAsia" w:hAnsiTheme="minorEastAsia" w:eastAsiaTheme="minorEastAsia" w:cstheme="minorEastAsia"/>
          <w:sz w:val="28"/>
          <w:szCs w:val="28"/>
        </w:rPr>
        <w:t>整改无明显效果</w:t>
      </w:r>
      <w:r>
        <w:rPr>
          <w:rFonts w:hint="eastAsia" w:asciiTheme="minorEastAsia" w:hAnsiTheme="minorEastAsia" w:eastAsiaTheme="minorEastAsia" w:cstheme="minorEastAsia"/>
          <w:sz w:val="28"/>
          <w:szCs w:val="28"/>
          <w:lang w:eastAsia="zh-CN"/>
        </w:rPr>
        <w:t>；或</w:t>
      </w:r>
      <w:r>
        <w:rPr>
          <w:rFonts w:hint="eastAsia" w:asciiTheme="minorEastAsia" w:hAnsiTheme="minorEastAsia" w:eastAsiaTheme="minorEastAsia" w:cstheme="minorEastAsia"/>
          <w:sz w:val="28"/>
          <w:szCs w:val="28"/>
        </w:rPr>
        <w:t>经甲方两次告知,乙方仍不改正的甲方有权解除合同</w:t>
      </w:r>
      <w:r>
        <w:rPr>
          <w:rFonts w:hint="eastAsia" w:asciiTheme="minorEastAsia" w:hAnsiTheme="minorEastAsia" w:eastAsiaTheme="minorEastAsia" w:cstheme="minorEastAsia"/>
          <w:sz w:val="28"/>
          <w:szCs w:val="28"/>
          <w:lang w:eastAsia="zh-CN"/>
        </w:rPr>
        <w:t>并扣除当月服务费用</w:t>
      </w:r>
      <w:r>
        <w:rPr>
          <w:rFonts w:hint="eastAsia" w:asciiTheme="minorEastAsia" w:hAnsiTheme="minorEastAsia" w:eastAsiaTheme="minorEastAsia" w:cstheme="minorEastAsia"/>
          <w:sz w:val="28"/>
          <w:szCs w:val="28"/>
          <w:lang w:val="en-US" w:eastAsia="zh-CN"/>
        </w:rPr>
        <w:t>作为处罚</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7、</w:t>
      </w:r>
      <w:r>
        <w:rPr>
          <w:rFonts w:hint="eastAsia" w:asciiTheme="minorEastAsia" w:hAnsiTheme="minorEastAsia" w:eastAsiaTheme="minorEastAsia" w:cstheme="minorEastAsia"/>
          <w:sz w:val="28"/>
          <w:szCs w:val="28"/>
        </w:rPr>
        <w:t>乙方从事违法犯罪活动的。</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lang w:val="en-US" w:eastAsia="zh-CN"/>
        </w:rPr>
        <w:t xml:space="preserve">   三</w:t>
      </w:r>
      <w:r>
        <w:rPr>
          <w:rFonts w:hint="eastAsia" w:asciiTheme="minorEastAsia" w:hAnsiTheme="minorEastAsia" w:eastAsiaTheme="minorEastAsia" w:cstheme="minorEastAsia"/>
          <w:sz w:val="28"/>
          <w:szCs w:val="28"/>
        </w:rPr>
        <w:t>、甲乙双方应严格履行合同，如乙方提供的服务长期达不到甲方本协议“第</w:t>
      </w:r>
      <w:r>
        <w:rPr>
          <w:rFonts w:hint="eastAsia" w:asciiTheme="minorEastAsia" w:hAnsiTheme="minorEastAsia" w:eastAsiaTheme="minorEastAsia" w:cstheme="minorEastAsia"/>
          <w:sz w:val="28"/>
          <w:szCs w:val="28"/>
          <w:lang w:val="en-US" w:eastAsia="zh-CN"/>
        </w:rPr>
        <w:t>四</w:t>
      </w:r>
      <w:r>
        <w:rPr>
          <w:rFonts w:hint="eastAsia" w:asciiTheme="minorEastAsia" w:hAnsiTheme="minorEastAsia" w:eastAsiaTheme="minorEastAsia" w:cstheme="minorEastAsia"/>
          <w:sz w:val="28"/>
          <w:szCs w:val="28"/>
        </w:rPr>
        <w:t>条”“第</w:t>
      </w:r>
      <w:r>
        <w:rPr>
          <w:rFonts w:hint="eastAsia" w:asciiTheme="minorEastAsia" w:hAnsiTheme="minorEastAsia" w:eastAsiaTheme="minorEastAsia" w:cstheme="minorEastAsia"/>
          <w:sz w:val="28"/>
          <w:szCs w:val="28"/>
          <w:lang w:val="en-US" w:eastAsia="zh-CN"/>
        </w:rPr>
        <w:t>五</w:t>
      </w:r>
      <w:r>
        <w:rPr>
          <w:rFonts w:hint="eastAsia" w:asciiTheme="minorEastAsia" w:hAnsiTheme="minorEastAsia" w:eastAsiaTheme="minorEastAsia" w:cstheme="minorEastAsia"/>
          <w:sz w:val="28"/>
          <w:szCs w:val="28"/>
        </w:rPr>
        <w:t>条第</w:t>
      </w:r>
      <w:r>
        <w:rPr>
          <w:rFonts w:hint="eastAsia" w:asciiTheme="minorEastAsia" w:hAnsiTheme="minorEastAsia" w:eastAsiaTheme="minorEastAsia" w:cstheme="minorEastAsia"/>
          <w:sz w:val="28"/>
          <w:szCs w:val="28"/>
          <w:lang w:eastAsia="zh-CN"/>
        </w:rPr>
        <w:t>二</w:t>
      </w:r>
      <w:r>
        <w:rPr>
          <w:rFonts w:hint="eastAsia" w:asciiTheme="minorEastAsia" w:hAnsiTheme="minorEastAsia" w:eastAsiaTheme="minorEastAsia" w:cstheme="minorEastAsia"/>
          <w:sz w:val="28"/>
          <w:szCs w:val="28"/>
        </w:rPr>
        <w:t>款”所约定的标准与承诺的义务，甲方有权随时解除合同并扣除当月服务费用作为违约金。</w:t>
      </w:r>
    </w:p>
    <w:p w14:paraId="751F8C9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四、</w:t>
      </w:r>
      <w:r>
        <w:rPr>
          <w:rFonts w:hint="eastAsia" w:asciiTheme="minorEastAsia" w:hAnsiTheme="minorEastAsia" w:eastAsiaTheme="minorEastAsia" w:cstheme="minorEastAsia"/>
          <w:sz w:val="28"/>
          <w:szCs w:val="28"/>
        </w:rPr>
        <w:t>甲方有下列情形之一的,乙方可解除本合同,但在纠纷解决之前，乙方必须保障正常的服务，延期服务不超过30天</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1、甲方未按本合同约定向乙方支付报酬的</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2、甲方要求</w:t>
      </w:r>
      <w:r>
        <w:rPr>
          <w:rFonts w:hint="eastAsia" w:asciiTheme="minorEastAsia" w:hAnsiTheme="minorEastAsia" w:eastAsiaTheme="minorEastAsia" w:cstheme="minorEastAsia"/>
          <w:sz w:val="28"/>
          <w:szCs w:val="28"/>
          <w:lang w:eastAsia="zh-CN"/>
        </w:rPr>
        <w:t>服务</w:t>
      </w:r>
      <w:r>
        <w:rPr>
          <w:rFonts w:hint="eastAsia" w:asciiTheme="minorEastAsia" w:hAnsiTheme="minorEastAsia" w:eastAsiaTheme="minorEastAsia" w:cstheme="minorEastAsia"/>
          <w:sz w:val="28"/>
          <w:szCs w:val="28"/>
        </w:rPr>
        <w:t>人员从事违法犯罪活动的。</w:t>
      </w:r>
    </w:p>
    <w:p w14:paraId="35A9875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五、在合同服务期限内，乙方未经甲方同意又委托第三方（人）从事本项目内服务工作的，应视为乙方严重违约，甲方有权随时终止合同且不承担任何责任（包括但不限于违约责任），乙方需向甲方按照本合同年度项目收入总额的双倍标准支付违约金，且由乙方承担因此违约行为产生的一切法律后果和赔偿责任。</w:t>
      </w:r>
    </w:p>
    <w:p w14:paraId="7BFE0535">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六、本合同生效之后，甲乙双方需认真履行本协议，不得无故单方面解除（本合同第七条第一款、第二款、第三款、第四款、第五款约定情形除外）。任何一方违反协议条款或单方面终止协议，给对方造成经济损失，均由违约方赔偿（包括但不限于律师费、诉讼费、保全费、鉴定费、差旅费）。</w:t>
      </w:r>
    </w:p>
    <w:p w14:paraId="5F946FC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七、因不可抗力无法履行本合同时，发生不可抗力一方应自不可抗力发生之日起3日内以书面形式通知对方。</w:t>
      </w:r>
      <w:r>
        <w:rPr>
          <w:rFonts w:hint="eastAsia" w:asciiTheme="minorEastAsia" w:hAnsiTheme="minorEastAsia" w:eastAsiaTheme="minorEastAsia" w:cstheme="minorEastAsia"/>
          <w:sz w:val="28"/>
          <w:szCs w:val="28"/>
        </w:rPr>
        <w:t>以减轻可能给对方造成的损失,在取得有关机构的不可抗力证明或双方谅解确认后,允许延期履行或修订合同,并根据情况可部分或全部免于承担违约责任。</w:t>
      </w:r>
      <w:r>
        <w:rPr>
          <w:rFonts w:hint="eastAsia" w:asciiTheme="minorEastAsia" w:hAnsiTheme="minorEastAsia" w:eastAsiaTheme="minorEastAsia" w:cstheme="minorEastAsia"/>
          <w:sz w:val="28"/>
          <w:szCs w:val="28"/>
          <w:lang w:val="en-US" w:eastAsia="zh-CN"/>
        </w:rPr>
        <w:t>不可抗力包括但不限于房屋灭失、地震等。</w:t>
      </w:r>
    </w:p>
    <w:bookmarkEnd w:id="38"/>
    <w:p w14:paraId="25D79BF8">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第</w:t>
      </w:r>
      <w:r>
        <w:rPr>
          <w:rFonts w:hint="eastAsia" w:asciiTheme="minorEastAsia" w:hAnsiTheme="minorEastAsia" w:eastAsiaTheme="minorEastAsia" w:cstheme="minorEastAsia"/>
          <w:sz w:val="28"/>
          <w:szCs w:val="28"/>
          <w:lang w:val="en-US" w:eastAsia="zh-CN"/>
        </w:rPr>
        <w:t>八</w:t>
      </w:r>
      <w:r>
        <w:rPr>
          <w:rFonts w:hint="eastAsia" w:asciiTheme="minorEastAsia" w:hAnsiTheme="minorEastAsia" w:eastAsiaTheme="minorEastAsia" w:cstheme="minorEastAsia"/>
          <w:sz w:val="28"/>
          <w:szCs w:val="28"/>
          <w:lang w:eastAsia="zh-CN"/>
        </w:rPr>
        <w:t xml:space="preserve">条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保密条款</w:t>
      </w:r>
    </w:p>
    <w:p w14:paraId="3BB093C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乙方对甲方提供的资料负有保密义务,未经甲方同意,不得向项目无关单位和个人提供有关资料。如发生以上情况,甲方有权索赔。</w:t>
      </w:r>
    </w:p>
    <w:p w14:paraId="3FF9C43B">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第</w:t>
      </w:r>
      <w:r>
        <w:rPr>
          <w:rFonts w:hint="eastAsia" w:asciiTheme="minorEastAsia" w:hAnsiTheme="minorEastAsia" w:eastAsiaTheme="minorEastAsia" w:cstheme="minorEastAsia"/>
          <w:sz w:val="28"/>
          <w:szCs w:val="28"/>
          <w:lang w:val="en-US" w:eastAsia="zh-CN"/>
        </w:rPr>
        <w:t>九</w:t>
      </w:r>
      <w:r>
        <w:rPr>
          <w:rFonts w:hint="eastAsia" w:asciiTheme="minorEastAsia" w:hAnsiTheme="minorEastAsia" w:eastAsiaTheme="minorEastAsia" w:cstheme="minorEastAsia"/>
          <w:sz w:val="28"/>
          <w:szCs w:val="28"/>
          <w:lang w:eastAsia="zh-CN"/>
        </w:rPr>
        <w:t xml:space="preserve">条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争议的解决</w:t>
      </w:r>
    </w:p>
    <w:p w14:paraId="32A2DA0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本合同执行过程中发生的任何争议,如双方不能通过友好协商解决,双方自愿向张家口经济开发区人民法院提起诉讼。</w:t>
      </w:r>
    </w:p>
    <w:p w14:paraId="0B1489A1">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第</w:t>
      </w:r>
      <w:r>
        <w:rPr>
          <w:rFonts w:hint="eastAsia" w:asciiTheme="minorEastAsia" w:hAnsiTheme="minorEastAsia" w:eastAsiaTheme="minorEastAsia" w:cstheme="minorEastAsia"/>
          <w:sz w:val="28"/>
          <w:szCs w:val="28"/>
          <w:lang w:val="en-US" w:eastAsia="zh-CN"/>
        </w:rPr>
        <w:t>十</w:t>
      </w:r>
      <w:r>
        <w:rPr>
          <w:rFonts w:hint="eastAsia" w:asciiTheme="minorEastAsia" w:hAnsiTheme="minorEastAsia" w:eastAsiaTheme="minorEastAsia" w:cstheme="minorEastAsia"/>
          <w:sz w:val="28"/>
          <w:szCs w:val="28"/>
          <w:lang w:eastAsia="zh-CN"/>
        </w:rPr>
        <w:t xml:space="preserve">条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税费</w:t>
      </w:r>
    </w:p>
    <w:p w14:paraId="01F1F25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此项目发生的与本合同执行有关的一切税费均由乙方负担。</w:t>
      </w:r>
    </w:p>
    <w:p w14:paraId="4A3E906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第</w:t>
      </w:r>
      <w:r>
        <w:rPr>
          <w:rFonts w:hint="eastAsia" w:asciiTheme="minorEastAsia" w:hAnsiTheme="minorEastAsia" w:eastAsiaTheme="minorEastAsia" w:cstheme="minorEastAsia"/>
          <w:sz w:val="28"/>
          <w:szCs w:val="28"/>
          <w:lang w:val="en-US" w:eastAsia="zh-CN"/>
        </w:rPr>
        <w:t>十一</w:t>
      </w:r>
      <w:r>
        <w:rPr>
          <w:rFonts w:hint="eastAsia" w:asciiTheme="minorEastAsia" w:hAnsiTheme="minorEastAsia" w:eastAsiaTheme="minorEastAsia" w:cstheme="minorEastAsia"/>
          <w:sz w:val="28"/>
          <w:szCs w:val="28"/>
          <w:lang w:eastAsia="zh-CN"/>
        </w:rPr>
        <w:t xml:space="preserve">条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其它</w:t>
      </w:r>
    </w:p>
    <w:p w14:paraId="76EA480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一、</w:t>
      </w:r>
      <w:r>
        <w:rPr>
          <w:rFonts w:hint="eastAsia" w:asciiTheme="minorEastAsia" w:hAnsiTheme="minorEastAsia" w:eastAsiaTheme="minorEastAsia" w:cstheme="minorEastAsia"/>
          <w:sz w:val="28"/>
          <w:szCs w:val="28"/>
        </w:rPr>
        <w:t>本合同所有附件为合同的有效组成部分,与本合同具有同等法律效力。</w:t>
      </w:r>
    </w:p>
    <w:p w14:paraId="5B0E235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二、</w:t>
      </w:r>
      <w:r>
        <w:rPr>
          <w:rFonts w:hint="eastAsia" w:asciiTheme="minorEastAsia" w:hAnsiTheme="minorEastAsia" w:eastAsiaTheme="minorEastAsia" w:cstheme="minorEastAsia"/>
          <w:sz w:val="28"/>
          <w:szCs w:val="28"/>
        </w:rPr>
        <w:t>双方在履行合同期间，如甲方要求增加或减少服务事项，双方应就相应增加或减少的</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人员服务费用签订补充协议，所有经双方签署确认的文件(包括会议纪要、补充协议、往来信函)即成为本合同的有效组成部分</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与本合同具有同等法律效力。</w:t>
      </w:r>
    </w:p>
    <w:p w14:paraId="3EF6DAF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三、</w:t>
      </w:r>
      <w:r>
        <w:rPr>
          <w:rFonts w:hint="eastAsia" w:asciiTheme="minorEastAsia" w:hAnsiTheme="minorEastAsia" w:eastAsiaTheme="minorEastAsia" w:cstheme="minorEastAsia"/>
          <w:sz w:val="28"/>
          <w:szCs w:val="28"/>
        </w:rPr>
        <w:t>如一方地址、电话、传真号码有变更,应在变更当日内书面通知对方,否则,应承担相应责任。</w:t>
      </w:r>
    </w:p>
    <w:p w14:paraId="16B28FA7">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val="zh-CN"/>
        </w:rPr>
      </w:pPr>
      <w:r>
        <w:rPr>
          <w:rFonts w:hint="eastAsia" w:asciiTheme="minorEastAsia" w:hAnsiTheme="minorEastAsia" w:eastAsiaTheme="minorEastAsia" w:cstheme="minorEastAsia"/>
          <w:sz w:val="28"/>
          <w:szCs w:val="28"/>
          <w:lang w:val="en-US" w:eastAsia="zh-CN"/>
        </w:rPr>
        <w:t>四、</w:t>
      </w:r>
      <w:r>
        <w:rPr>
          <w:rFonts w:hint="eastAsia" w:asciiTheme="minorEastAsia" w:hAnsiTheme="minorEastAsia" w:eastAsiaTheme="minorEastAsia" w:cstheme="minorEastAsia"/>
          <w:sz w:val="28"/>
          <w:szCs w:val="28"/>
        </w:rPr>
        <w:t>本合同一式</w:t>
      </w:r>
      <w:r>
        <w:rPr>
          <w:rFonts w:hint="eastAsia" w:asciiTheme="minorEastAsia" w:hAnsiTheme="minorEastAsia" w:eastAsiaTheme="minorEastAsia" w:cstheme="minorEastAsia"/>
          <w:sz w:val="28"/>
          <w:szCs w:val="28"/>
          <w:lang w:val="en-US" w:eastAsia="zh-CN"/>
        </w:rPr>
        <w:t>四</w:t>
      </w:r>
      <w:r>
        <w:rPr>
          <w:rFonts w:hint="eastAsia" w:asciiTheme="minorEastAsia" w:hAnsiTheme="minorEastAsia" w:eastAsiaTheme="minorEastAsia" w:cstheme="minorEastAsia"/>
          <w:sz w:val="28"/>
          <w:szCs w:val="28"/>
        </w:rPr>
        <w:t>份，</w:t>
      </w:r>
      <w:r>
        <w:rPr>
          <w:rFonts w:hint="eastAsia" w:asciiTheme="minorEastAsia" w:hAnsiTheme="minorEastAsia" w:eastAsiaTheme="minorEastAsia" w:cstheme="minorEastAsia"/>
          <w:sz w:val="28"/>
          <w:szCs w:val="28"/>
          <w:lang w:val="en-US" w:eastAsia="zh-CN"/>
        </w:rPr>
        <w:t>甲乙双方各执两份，效力相同，</w:t>
      </w:r>
      <w:r>
        <w:rPr>
          <w:rFonts w:hint="eastAsia" w:asciiTheme="minorEastAsia" w:hAnsiTheme="minorEastAsia" w:eastAsiaTheme="minorEastAsia" w:cstheme="minorEastAsia"/>
          <w:sz w:val="28"/>
          <w:szCs w:val="28"/>
        </w:rPr>
        <w:t>经签字</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盖章</w:t>
      </w:r>
      <w:r>
        <w:rPr>
          <w:rFonts w:hint="eastAsia" w:asciiTheme="minorEastAsia" w:hAnsiTheme="minorEastAsia" w:eastAsiaTheme="minorEastAsia" w:cstheme="minorEastAsia"/>
          <w:sz w:val="28"/>
          <w:szCs w:val="28"/>
        </w:rPr>
        <w:t>之日起生效</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未尽事宜双方协商解决。</w:t>
      </w:r>
    </w:p>
    <w:p w14:paraId="3C55BF1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sz w:val="28"/>
          <w:szCs w:val="28"/>
          <w:lang w:val="zh-CN"/>
        </w:rPr>
      </w:pPr>
      <w:r>
        <w:rPr>
          <w:rFonts w:hint="eastAsia" w:asciiTheme="minorEastAsia" w:hAnsiTheme="minorEastAsia" w:eastAsiaTheme="minorEastAsia" w:cstheme="minorEastAsia"/>
          <w:sz w:val="28"/>
          <w:szCs w:val="28"/>
          <w:lang w:val="zh-CN"/>
        </w:rPr>
        <w:t>甲方（盖章）：                       乙方（盖章）：</w:t>
      </w:r>
    </w:p>
    <w:p w14:paraId="0D0CE89B">
      <w:pPr>
        <w:pStyle w:val="4"/>
        <w:keepNext/>
        <w:keepLines/>
        <w:pageBreakBefore w:val="0"/>
        <w:widowControl w:val="0"/>
        <w:kinsoku/>
        <w:wordWrap/>
        <w:overflowPunct/>
        <w:topLinePunct w:val="0"/>
        <w:autoSpaceDE/>
        <w:autoSpaceDN/>
        <w:bidi w:val="0"/>
        <w:adjustRightInd/>
        <w:snapToGrid/>
        <w:spacing w:line="500" w:lineRule="exact"/>
        <w:textAlignment w:val="auto"/>
        <w:outlineLvl w:val="9"/>
        <w:rPr>
          <w:rFonts w:hint="eastAsia"/>
          <w:lang w:val="zh-CN"/>
        </w:rPr>
      </w:pPr>
    </w:p>
    <w:p w14:paraId="5DA9BBC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zh-CN"/>
        </w:rPr>
        <w:t>法定代表人（委托人）：</w:t>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lang w:val="zh-CN"/>
        </w:rPr>
        <w:t xml:space="preserve">法定代表人（委托人）： </w:t>
      </w:r>
    </w:p>
    <w:p w14:paraId="2E2A2CB3">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Theme="minorEastAsia" w:hAnsiTheme="minorEastAsia" w:eastAsiaTheme="minorEastAsia" w:cstheme="minorEastAsia"/>
          <w:sz w:val="28"/>
          <w:szCs w:val="28"/>
        </w:rPr>
      </w:pPr>
    </w:p>
    <w:p w14:paraId="240910D8">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zh-CN"/>
        </w:rPr>
        <w:t>年     月     日</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zh-CN"/>
        </w:rPr>
        <w:t>年     月     日</w:t>
      </w:r>
    </w:p>
    <w:p w14:paraId="60668F59">
      <w:pPr>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br w:type="page"/>
      </w:r>
    </w:p>
    <w:p w14:paraId="4B5AD24F">
      <w:pPr>
        <w:spacing w:line="360" w:lineRule="auto"/>
        <w:jc w:val="both"/>
        <w:outlineLvl w:val="9"/>
        <w:rPr>
          <w:rFonts w:hint="eastAsia" w:asciiTheme="minorEastAsia" w:hAnsiTheme="minorEastAsia" w:eastAsiaTheme="minorEastAsia" w:cstheme="minorEastAsia"/>
          <w:b/>
          <w:bCs/>
          <w:sz w:val="28"/>
          <w:szCs w:val="28"/>
          <w:lang w:val="en-US" w:eastAsia="zh-CN"/>
        </w:rPr>
      </w:pPr>
      <w:bookmarkStart w:id="39" w:name="_Toc14768"/>
      <w:r>
        <w:rPr>
          <w:rFonts w:hint="eastAsia" w:asciiTheme="minorEastAsia" w:hAnsiTheme="minorEastAsia" w:eastAsiaTheme="minorEastAsia" w:cstheme="minorEastAsia"/>
          <w:b/>
          <w:bCs/>
          <w:sz w:val="28"/>
          <w:szCs w:val="28"/>
          <w:lang w:val="en-US" w:eastAsia="zh-CN"/>
        </w:rPr>
        <w:t>附件一：</w:t>
      </w:r>
    </w:p>
    <w:p w14:paraId="0D53C37D">
      <w:pPr>
        <w:spacing w:line="360" w:lineRule="auto"/>
        <w:ind w:firstLine="562" w:firstLineChars="200"/>
        <w:jc w:val="both"/>
        <w:outlineLvl w:val="9"/>
        <w:rPr>
          <w:rFonts w:hint="default"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乙方服务内容如下：</w:t>
      </w:r>
    </w:p>
    <w:p w14:paraId="6F3C02D5">
      <w:pPr>
        <w:spacing w:line="360" w:lineRule="auto"/>
        <w:ind w:firstLine="476" w:firstLineChars="200"/>
        <w:jc w:val="both"/>
        <w:outlineLvl w:val="9"/>
        <w:rPr>
          <w:rFonts w:hint="eastAsia" w:ascii="宋体" w:hAnsi="宋体" w:eastAsia="宋体" w:cs="宋体"/>
          <w:spacing w:val="-1"/>
          <w:sz w:val="24"/>
          <w:szCs w:val="24"/>
          <w:lang w:val="en-US" w:eastAsia="zh-CN"/>
        </w:rPr>
      </w:pPr>
      <w:r>
        <w:rPr>
          <w:rFonts w:hint="eastAsia" w:ascii="宋体" w:hAnsi="宋体" w:cs="宋体"/>
          <w:spacing w:val="-1"/>
          <w:sz w:val="24"/>
          <w:szCs w:val="24"/>
          <w:lang w:val="en-US" w:eastAsia="zh-CN"/>
        </w:rPr>
        <w:t>乙方设置项目主管，负责与甲方项目主管人员沟通，按需求安排工作内容，负责</w:t>
      </w:r>
      <w:r>
        <w:rPr>
          <w:rFonts w:hint="eastAsia" w:ascii="宋体" w:hAnsi="宋体" w:eastAsia="宋体" w:cs="宋体"/>
          <w:spacing w:val="-1"/>
          <w:sz w:val="24"/>
          <w:szCs w:val="24"/>
          <w:lang w:val="en-US" w:eastAsia="zh-CN"/>
        </w:rPr>
        <w:t>对项目整体运营、人员管理等工作。</w:t>
      </w:r>
    </w:p>
    <w:p w14:paraId="37D23A4D">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default" w:ascii="宋体" w:hAnsi="宋体" w:eastAsia="宋体" w:cs="宋体"/>
          <w:spacing w:val="-1"/>
          <w:sz w:val="24"/>
          <w:szCs w:val="24"/>
          <w:lang w:val="en-US" w:eastAsia="zh-CN"/>
        </w:rPr>
        <w:t>一、日常运行与维护</w:t>
      </w:r>
    </w:p>
    <w:p w14:paraId="514CC930">
      <w:pPr>
        <w:spacing w:line="360" w:lineRule="auto"/>
        <w:ind w:firstLine="956" w:firstLineChars="400"/>
        <w:jc w:val="both"/>
        <w:outlineLvl w:val="9"/>
        <w:rPr>
          <w:rFonts w:hint="default" w:ascii="宋体" w:hAnsi="宋体" w:eastAsia="宋体" w:cs="宋体"/>
          <w:b/>
          <w:bCs/>
          <w:spacing w:val="-1"/>
          <w:sz w:val="24"/>
          <w:szCs w:val="24"/>
          <w:lang w:val="en-US" w:eastAsia="zh-CN"/>
        </w:rPr>
      </w:pPr>
      <w:r>
        <w:rPr>
          <w:rFonts w:hint="eastAsia" w:ascii="宋体" w:hAnsi="宋体" w:cs="宋体"/>
          <w:b/>
          <w:bCs/>
          <w:spacing w:val="-1"/>
          <w:sz w:val="24"/>
          <w:szCs w:val="24"/>
          <w:lang w:val="en-US" w:eastAsia="zh-CN"/>
        </w:rPr>
        <w:t>（</w:t>
      </w:r>
      <w:r>
        <w:rPr>
          <w:rFonts w:hint="default" w:ascii="宋体" w:hAnsi="宋体" w:eastAsia="宋体" w:cs="宋体"/>
          <w:b/>
          <w:bCs/>
          <w:spacing w:val="-1"/>
          <w:sz w:val="24"/>
          <w:szCs w:val="24"/>
          <w:lang w:val="en-US" w:eastAsia="zh-CN"/>
        </w:rPr>
        <w:t>供配电系统</w:t>
      </w:r>
      <w:r>
        <w:rPr>
          <w:rFonts w:hint="eastAsia" w:ascii="宋体" w:hAnsi="宋体" w:cs="宋体"/>
          <w:b/>
          <w:bCs/>
          <w:spacing w:val="-1"/>
          <w:sz w:val="24"/>
          <w:szCs w:val="24"/>
          <w:lang w:val="en-US" w:eastAsia="zh-CN"/>
        </w:rPr>
        <w:t>方面）</w:t>
      </w:r>
    </w:p>
    <w:p w14:paraId="08528A53">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w:t>
      </w:r>
      <w:r>
        <w:rPr>
          <w:rFonts w:hint="default" w:ascii="宋体" w:hAnsi="宋体" w:eastAsia="宋体" w:cs="宋体"/>
          <w:spacing w:val="-1"/>
          <w:sz w:val="24"/>
          <w:szCs w:val="24"/>
          <w:lang w:val="en-US" w:eastAsia="zh-CN"/>
        </w:rPr>
        <w:t>高压配电室、变压器2小时一巡检。</w:t>
      </w:r>
    </w:p>
    <w:p w14:paraId="44E0EF93">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2、</w:t>
      </w:r>
      <w:r>
        <w:rPr>
          <w:rFonts w:hint="default" w:ascii="宋体" w:hAnsi="宋体" w:eastAsia="宋体" w:cs="宋体"/>
          <w:spacing w:val="-1"/>
          <w:sz w:val="24"/>
          <w:szCs w:val="24"/>
          <w:lang w:val="en-US" w:eastAsia="zh-CN"/>
        </w:rPr>
        <w:t>每周抄录一次低压侧电表，核算电能使用情况。</w:t>
      </w:r>
    </w:p>
    <w:p w14:paraId="5F785B00">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default" w:ascii="宋体" w:hAnsi="宋体" w:eastAsia="宋体" w:cs="宋体"/>
          <w:spacing w:val="-1"/>
          <w:sz w:val="24"/>
          <w:szCs w:val="24"/>
          <w:lang w:val="en-US" w:eastAsia="zh-CN"/>
        </w:rPr>
        <w:t>公共照明、楼层配电箱、线路、开关检修。</w:t>
      </w:r>
    </w:p>
    <w:p w14:paraId="7A87CEC5">
      <w:pPr>
        <w:spacing w:line="360" w:lineRule="auto"/>
        <w:ind w:firstLine="956" w:firstLineChars="400"/>
        <w:jc w:val="both"/>
        <w:outlineLvl w:val="9"/>
        <w:rPr>
          <w:rFonts w:hint="default" w:ascii="宋体" w:hAnsi="宋体" w:eastAsia="宋体" w:cs="宋体"/>
          <w:b/>
          <w:bCs/>
          <w:spacing w:val="-1"/>
          <w:sz w:val="24"/>
          <w:szCs w:val="24"/>
          <w:lang w:val="en-US" w:eastAsia="zh-CN"/>
        </w:rPr>
      </w:pPr>
      <w:r>
        <w:rPr>
          <w:rFonts w:hint="eastAsia" w:ascii="宋体" w:hAnsi="宋体" w:cs="宋体"/>
          <w:b/>
          <w:bCs/>
          <w:spacing w:val="-1"/>
          <w:sz w:val="24"/>
          <w:szCs w:val="24"/>
          <w:lang w:val="en-US" w:eastAsia="zh-CN"/>
        </w:rPr>
        <w:t>（</w:t>
      </w:r>
      <w:r>
        <w:rPr>
          <w:rFonts w:hint="default" w:ascii="宋体" w:hAnsi="宋体" w:eastAsia="宋体" w:cs="宋体"/>
          <w:b/>
          <w:bCs/>
          <w:spacing w:val="-1"/>
          <w:sz w:val="24"/>
          <w:szCs w:val="24"/>
          <w:lang w:val="en-US" w:eastAsia="zh-CN"/>
        </w:rPr>
        <w:t>暖气系统</w:t>
      </w:r>
      <w:r>
        <w:rPr>
          <w:rFonts w:hint="eastAsia" w:ascii="宋体" w:hAnsi="宋体" w:cs="宋体"/>
          <w:b/>
          <w:bCs/>
          <w:spacing w:val="-1"/>
          <w:sz w:val="24"/>
          <w:szCs w:val="24"/>
          <w:lang w:val="en-US" w:eastAsia="zh-CN"/>
        </w:rPr>
        <w:t>方面）</w:t>
      </w:r>
    </w:p>
    <w:p w14:paraId="7F31105A">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w:t>
      </w:r>
      <w:r>
        <w:rPr>
          <w:rFonts w:hint="default" w:ascii="宋体" w:hAnsi="宋体" w:eastAsia="宋体" w:cs="宋体"/>
          <w:spacing w:val="-1"/>
          <w:sz w:val="24"/>
          <w:szCs w:val="24"/>
          <w:lang w:val="en-US" w:eastAsia="zh-CN"/>
        </w:rPr>
        <w:t>锅炉设备启动、暖气配套系统启动，滤网清洗、温度调控、降噪节能</w:t>
      </w:r>
    </w:p>
    <w:p w14:paraId="7C83288D">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2、</w:t>
      </w:r>
      <w:r>
        <w:rPr>
          <w:rFonts w:hint="default" w:ascii="宋体" w:hAnsi="宋体" w:eastAsia="宋体" w:cs="宋体"/>
          <w:spacing w:val="-1"/>
          <w:sz w:val="24"/>
          <w:szCs w:val="24"/>
          <w:lang w:val="en-US" w:eastAsia="zh-CN"/>
        </w:rPr>
        <w:t>锅炉房每2小时巡查一次，热力机房一天两次，上午一次，下午一次。</w:t>
      </w:r>
    </w:p>
    <w:p w14:paraId="11CE9ACD">
      <w:pPr>
        <w:spacing w:line="360" w:lineRule="auto"/>
        <w:ind w:firstLine="956" w:firstLineChars="400"/>
        <w:jc w:val="both"/>
        <w:outlineLvl w:val="9"/>
        <w:rPr>
          <w:rFonts w:hint="default" w:ascii="宋体" w:hAnsi="宋体" w:eastAsia="宋体" w:cs="宋体"/>
          <w:b/>
          <w:bCs/>
          <w:spacing w:val="-1"/>
          <w:sz w:val="24"/>
          <w:szCs w:val="24"/>
          <w:lang w:val="en-US" w:eastAsia="zh-CN"/>
        </w:rPr>
      </w:pPr>
      <w:r>
        <w:rPr>
          <w:rFonts w:hint="eastAsia" w:ascii="宋体" w:hAnsi="宋体" w:cs="宋体"/>
          <w:b/>
          <w:bCs/>
          <w:spacing w:val="-1"/>
          <w:sz w:val="24"/>
          <w:szCs w:val="24"/>
          <w:lang w:val="en-US" w:eastAsia="zh-CN"/>
        </w:rPr>
        <w:t>（</w:t>
      </w:r>
      <w:r>
        <w:rPr>
          <w:rFonts w:hint="default" w:ascii="宋体" w:hAnsi="宋体" w:eastAsia="宋体" w:cs="宋体"/>
          <w:b/>
          <w:bCs/>
          <w:spacing w:val="-1"/>
          <w:sz w:val="24"/>
          <w:szCs w:val="24"/>
          <w:lang w:val="en-US" w:eastAsia="zh-CN"/>
        </w:rPr>
        <w:t>给排水系统</w:t>
      </w:r>
      <w:r>
        <w:rPr>
          <w:rFonts w:hint="eastAsia" w:ascii="宋体" w:hAnsi="宋体" w:cs="宋体"/>
          <w:b/>
          <w:bCs/>
          <w:spacing w:val="-1"/>
          <w:sz w:val="24"/>
          <w:szCs w:val="24"/>
          <w:lang w:val="en-US" w:eastAsia="zh-CN"/>
        </w:rPr>
        <w:t>方面）</w:t>
      </w:r>
    </w:p>
    <w:p w14:paraId="5F462E63">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w:t>
      </w:r>
      <w:r>
        <w:rPr>
          <w:rFonts w:hint="default" w:ascii="宋体" w:hAnsi="宋体" w:eastAsia="宋体" w:cs="宋体"/>
          <w:spacing w:val="-1"/>
          <w:sz w:val="24"/>
          <w:szCs w:val="24"/>
          <w:lang w:val="en-US" w:eastAsia="zh-CN"/>
        </w:rPr>
        <w:t>生活水泵、水箱、管道、阀门、减压阀维护</w:t>
      </w:r>
    </w:p>
    <w:p w14:paraId="5FF03B36">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2、</w:t>
      </w:r>
      <w:r>
        <w:rPr>
          <w:rFonts w:hint="default" w:ascii="宋体" w:hAnsi="宋体" w:eastAsia="宋体" w:cs="宋体"/>
          <w:spacing w:val="-1"/>
          <w:sz w:val="24"/>
          <w:szCs w:val="24"/>
          <w:lang w:val="en-US" w:eastAsia="zh-CN"/>
        </w:rPr>
        <w:t>公共卫生间管网疏通（2楼）</w:t>
      </w:r>
    </w:p>
    <w:p w14:paraId="4BD687D1">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3、</w:t>
      </w:r>
      <w:r>
        <w:rPr>
          <w:rFonts w:hint="default" w:ascii="宋体" w:hAnsi="宋体" w:eastAsia="宋体" w:cs="宋体"/>
          <w:spacing w:val="-1"/>
          <w:sz w:val="24"/>
          <w:szCs w:val="24"/>
          <w:lang w:val="en-US" w:eastAsia="zh-CN"/>
        </w:rPr>
        <w:t>生活水泵房每日巡检2次，上午一次，下午一次。</w:t>
      </w:r>
    </w:p>
    <w:p w14:paraId="5B922767">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4、</w:t>
      </w:r>
      <w:r>
        <w:rPr>
          <w:rFonts w:hint="default" w:ascii="宋体" w:hAnsi="宋体" w:eastAsia="宋体" w:cs="宋体"/>
          <w:spacing w:val="-1"/>
          <w:sz w:val="24"/>
          <w:szCs w:val="24"/>
          <w:lang w:val="en-US" w:eastAsia="zh-CN"/>
        </w:rPr>
        <w:t>每日巡查负三层集水坑一次（洗车房下方集水坑为重点）。</w:t>
      </w:r>
    </w:p>
    <w:p w14:paraId="4F7BE624">
      <w:pPr>
        <w:spacing w:line="360" w:lineRule="auto"/>
        <w:ind w:firstLine="956" w:firstLineChars="400"/>
        <w:jc w:val="both"/>
        <w:outlineLvl w:val="9"/>
        <w:rPr>
          <w:rFonts w:hint="default" w:ascii="宋体" w:hAnsi="宋体" w:eastAsia="宋体" w:cs="宋体"/>
          <w:b/>
          <w:bCs/>
          <w:spacing w:val="-1"/>
          <w:sz w:val="24"/>
          <w:szCs w:val="24"/>
          <w:lang w:val="en-US" w:eastAsia="zh-CN"/>
        </w:rPr>
      </w:pPr>
      <w:r>
        <w:rPr>
          <w:rFonts w:hint="eastAsia" w:ascii="宋体" w:hAnsi="宋体" w:cs="宋体"/>
          <w:b/>
          <w:bCs/>
          <w:spacing w:val="-1"/>
          <w:sz w:val="24"/>
          <w:szCs w:val="24"/>
          <w:lang w:val="en-US" w:eastAsia="zh-CN"/>
        </w:rPr>
        <w:t>（</w:t>
      </w:r>
      <w:r>
        <w:rPr>
          <w:rFonts w:hint="default" w:ascii="宋体" w:hAnsi="宋体" w:eastAsia="宋体" w:cs="宋体"/>
          <w:b/>
          <w:bCs/>
          <w:spacing w:val="-1"/>
          <w:sz w:val="24"/>
          <w:szCs w:val="24"/>
          <w:lang w:val="en-US" w:eastAsia="zh-CN"/>
        </w:rPr>
        <w:t>土建</w:t>
      </w:r>
      <w:r>
        <w:rPr>
          <w:rFonts w:hint="eastAsia" w:ascii="宋体" w:hAnsi="宋体" w:cs="宋体"/>
          <w:b/>
          <w:bCs/>
          <w:spacing w:val="-1"/>
          <w:sz w:val="24"/>
          <w:szCs w:val="24"/>
          <w:lang w:val="en-US" w:eastAsia="zh-CN"/>
        </w:rPr>
        <w:t>方面）</w:t>
      </w:r>
    </w:p>
    <w:p w14:paraId="3FE26CC4">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w:t>
      </w:r>
      <w:r>
        <w:rPr>
          <w:rFonts w:hint="default" w:ascii="宋体" w:hAnsi="宋体" w:eastAsia="宋体" w:cs="宋体"/>
          <w:spacing w:val="-1"/>
          <w:sz w:val="24"/>
          <w:szCs w:val="24"/>
          <w:lang w:val="en-US" w:eastAsia="zh-CN"/>
        </w:rPr>
        <w:t>对公共区域内墙面及地面踢脚线维护维修</w:t>
      </w:r>
      <w:r>
        <w:rPr>
          <w:rFonts w:hint="eastAsia" w:ascii="宋体" w:hAnsi="宋体" w:cs="宋体"/>
          <w:spacing w:val="-1"/>
          <w:sz w:val="24"/>
          <w:szCs w:val="24"/>
          <w:lang w:val="en-US" w:eastAsia="zh-CN"/>
        </w:rPr>
        <w:t>及其它需要临时维修的部位。</w:t>
      </w:r>
    </w:p>
    <w:p w14:paraId="466EE72E">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二</w:t>
      </w:r>
      <w:r>
        <w:rPr>
          <w:rFonts w:hint="default" w:ascii="宋体" w:hAnsi="宋体" w:eastAsia="宋体" w:cs="宋体"/>
          <w:spacing w:val="-1"/>
          <w:sz w:val="24"/>
          <w:szCs w:val="24"/>
          <w:lang w:val="en-US" w:eastAsia="zh-CN"/>
        </w:rPr>
        <w:t>、租户服务与装修管理</w:t>
      </w:r>
    </w:p>
    <w:p w14:paraId="1E6AAF0F">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w:t>
      </w:r>
      <w:r>
        <w:rPr>
          <w:rFonts w:hint="default" w:ascii="宋体" w:hAnsi="宋体" w:eastAsia="宋体" w:cs="宋体"/>
          <w:spacing w:val="-1"/>
          <w:sz w:val="24"/>
          <w:szCs w:val="24"/>
          <w:lang w:val="en-US" w:eastAsia="zh-CN"/>
        </w:rPr>
        <w:t>报修响应：配合租户室内水电维修需求，开水开电，断水断电</w:t>
      </w:r>
    </w:p>
    <w:p w14:paraId="45523DF3">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2、</w:t>
      </w:r>
      <w:r>
        <w:rPr>
          <w:rFonts w:hint="default" w:ascii="宋体" w:hAnsi="宋体" w:eastAsia="宋体" w:cs="宋体"/>
          <w:spacing w:val="-1"/>
          <w:sz w:val="24"/>
          <w:szCs w:val="24"/>
          <w:lang w:val="en-US" w:eastAsia="zh-CN"/>
        </w:rPr>
        <w:t>装修管控：现场巡查、动火审批、结构安全</w:t>
      </w:r>
    </w:p>
    <w:p w14:paraId="55C18C68">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三、</w:t>
      </w:r>
      <w:r>
        <w:rPr>
          <w:rFonts w:hint="default" w:ascii="宋体" w:hAnsi="宋体" w:eastAsia="宋体" w:cs="宋体"/>
          <w:spacing w:val="-1"/>
          <w:sz w:val="24"/>
          <w:szCs w:val="24"/>
          <w:lang w:val="en-US" w:eastAsia="zh-CN"/>
        </w:rPr>
        <w:t>预防性保养与计划检修</w:t>
      </w:r>
    </w:p>
    <w:p w14:paraId="4A9A7164">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w:t>
      </w:r>
      <w:r>
        <w:rPr>
          <w:rFonts w:hint="default" w:ascii="宋体" w:hAnsi="宋体" w:eastAsia="宋体" w:cs="宋体"/>
          <w:spacing w:val="-1"/>
          <w:sz w:val="24"/>
          <w:szCs w:val="24"/>
          <w:lang w:val="en-US" w:eastAsia="zh-CN"/>
        </w:rPr>
        <w:t>对强电井内卫生，各机房机柜灰尘定时清理</w:t>
      </w:r>
      <w:r>
        <w:rPr>
          <w:rFonts w:hint="eastAsia" w:ascii="宋体" w:hAnsi="宋体" w:cs="宋体"/>
          <w:spacing w:val="-1"/>
          <w:sz w:val="24"/>
          <w:szCs w:val="24"/>
          <w:lang w:val="en-US" w:eastAsia="zh-CN"/>
        </w:rPr>
        <w:t>维护。</w:t>
      </w:r>
    </w:p>
    <w:p w14:paraId="461476FA">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2、</w:t>
      </w:r>
      <w:r>
        <w:rPr>
          <w:rFonts w:hint="default" w:ascii="宋体" w:hAnsi="宋体" w:eastAsia="宋体" w:cs="宋体"/>
          <w:spacing w:val="-1"/>
          <w:sz w:val="24"/>
          <w:szCs w:val="24"/>
          <w:lang w:val="en-US" w:eastAsia="zh-CN"/>
        </w:rPr>
        <w:t>供暖前检修润滑、清洁、紧固</w:t>
      </w:r>
      <w:r>
        <w:rPr>
          <w:rFonts w:hint="eastAsia" w:ascii="宋体" w:hAnsi="宋体" w:cs="宋体"/>
          <w:spacing w:val="-1"/>
          <w:sz w:val="24"/>
          <w:szCs w:val="24"/>
          <w:lang w:val="en-US" w:eastAsia="zh-CN"/>
        </w:rPr>
        <w:t>相关</w:t>
      </w:r>
      <w:r>
        <w:rPr>
          <w:rFonts w:hint="default" w:ascii="宋体" w:hAnsi="宋体" w:eastAsia="宋体" w:cs="宋体"/>
          <w:spacing w:val="-1"/>
          <w:sz w:val="24"/>
          <w:szCs w:val="24"/>
          <w:lang w:val="en-US" w:eastAsia="zh-CN"/>
        </w:rPr>
        <w:t>设施设备。</w:t>
      </w:r>
    </w:p>
    <w:p w14:paraId="5AB43BE1">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3、</w:t>
      </w:r>
      <w:r>
        <w:rPr>
          <w:rFonts w:hint="default" w:ascii="宋体" w:hAnsi="宋体" w:eastAsia="宋体" w:cs="宋体"/>
          <w:spacing w:val="-1"/>
          <w:sz w:val="24"/>
          <w:szCs w:val="24"/>
          <w:lang w:val="en-US" w:eastAsia="zh-CN"/>
        </w:rPr>
        <w:t>季节性工作：冬季防冻、雨季防汛、台风防范</w:t>
      </w:r>
    </w:p>
    <w:p w14:paraId="62AF4755">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四</w:t>
      </w:r>
      <w:r>
        <w:rPr>
          <w:rFonts w:hint="default" w:ascii="宋体" w:hAnsi="宋体" w:eastAsia="宋体" w:cs="宋体"/>
          <w:spacing w:val="-1"/>
          <w:sz w:val="24"/>
          <w:szCs w:val="24"/>
          <w:lang w:val="en-US" w:eastAsia="zh-CN"/>
        </w:rPr>
        <w:t>、应急抢修与安全管理</w:t>
      </w:r>
    </w:p>
    <w:p w14:paraId="119D636B">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w:t>
      </w:r>
      <w:r>
        <w:rPr>
          <w:rFonts w:hint="default" w:ascii="宋体" w:hAnsi="宋体" w:eastAsia="宋体" w:cs="宋体"/>
          <w:spacing w:val="-1"/>
          <w:sz w:val="24"/>
          <w:szCs w:val="24"/>
          <w:lang w:val="en-US" w:eastAsia="zh-CN"/>
        </w:rPr>
        <w:t>突发事件：停电、停水、漏水、电梯困人、火灾、爆管</w:t>
      </w:r>
      <w:r>
        <w:rPr>
          <w:rFonts w:hint="eastAsia" w:ascii="宋体" w:hAnsi="宋体" w:cs="宋体"/>
          <w:spacing w:val="-1"/>
          <w:sz w:val="24"/>
          <w:szCs w:val="24"/>
          <w:lang w:val="en-US" w:eastAsia="zh-CN"/>
        </w:rPr>
        <w:t>等</w:t>
      </w:r>
      <w:r>
        <w:rPr>
          <w:rFonts w:hint="default" w:ascii="宋体" w:hAnsi="宋体" w:eastAsia="宋体" w:cs="宋体"/>
          <w:spacing w:val="-1"/>
          <w:sz w:val="24"/>
          <w:szCs w:val="24"/>
          <w:lang w:val="en-US" w:eastAsia="zh-CN"/>
        </w:rPr>
        <w:t>应急处理</w:t>
      </w:r>
      <w:r>
        <w:rPr>
          <w:rFonts w:hint="eastAsia" w:ascii="宋体" w:hAnsi="宋体" w:cs="宋体"/>
          <w:spacing w:val="-1"/>
          <w:sz w:val="24"/>
          <w:szCs w:val="24"/>
          <w:lang w:val="en-US" w:eastAsia="zh-CN"/>
        </w:rPr>
        <w:t>。</w:t>
      </w:r>
    </w:p>
    <w:p w14:paraId="31A9A671">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2、</w:t>
      </w:r>
      <w:r>
        <w:rPr>
          <w:rFonts w:hint="default" w:ascii="宋体" w:hAnsi="宋体" w:eastAsia="宋体" w:cs="宋体"/>
          <w:spacing w:val="-1"/>
          <w:sz w:val="24"/>
          <w:szCs w:val="24"/>
          <w:lang w:val="en-US" w:eastAsia="zh-CN"/>
        </w:rPr>
        <w:t>安全操作：高空／用电／有限空间规范</w:t>
      </w:r>
    </w:p>
    <w:p w14:paraId="1E64AF4F">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3、</w:t>
      </w:r>
      <w:r>
        <w:rPr>
          <w:rFonts w:hint="default" w:ascii="宋体" w:hAnsi="宋体" w:eastAsia="宋体" w:cs="宋体"/>
          <w:spacing w:val="-1"/>
          <w:sz w:val="24"/>
          <w:szCs w:val="24"/>
          <w:lang w:val="en-US" w:eastAsia="zh-CN"/>
        </w:rPr>
        <w:t>隐患排查：漏电、漏水、异响、超温、消防通道堵塞</w:t>
      </w:r>
    </w:p>
    <w:p w14:paraId="2217BB53">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4、</w:t>
      </w:r>
      <w:r>
        <w:rPr>
          <w:rFonts w:hint="default" w:ascii="宋体" w:hAnsi="宋体" w:eastAsia="宋体" w:cs="宋体"/>
          <w:spacing w:val="-1"/>
          <w:sz w:val="24"/>
          <w:szCs w:val="24"/>
          <w:lang w:val="en-US" w:eastAsia="zh-CN"/>
        </w:rPr>
        <w:t>配合电梯、消防、弱电、空调等专业维保单位</w:t>
      </w:r>
      <w:r>
        <w:rPr>
          <w:rFonts w:hint="eastAsia" w:ascii="宋体" w:hAnsi="宋体" w:cs="宋体"/>
          <w:spacing w:val="-1"/>
          <w:sz w:val="24"/>
          <w:szCs w:val="24"/>
          <w:lang w:val="en-US" w:eastAsia="zh-CN"/>
        </w:rPr>
        <w:t>进行</w:t>
      </w:r>
      <w:r>
        <w:rPr>
          <w:rFonts w:hint="default" w:ascii="宋体" w:hAnsi="宋体" w:eastAsia="宋体" w:cs="宋体"/>
          <w:spacing w:val="-1"/>
          <w:sz w:val="24"/>
          <w:szCs w:val="24"/>
          <w:lang w:val="en-US" w:eastAsia="zh-CN"/>
        </w:rPr>
        <w:t>维修。</w:t>
      </w:r>
    </w:p>
    <w:p w14:paraId="7692A5BB">
      <w:pPr>
        <w:spacing w:line="360" w:lineRule="auto"/>
        <w:ind w:firstLine="472"/>
        <w:jc w:val="both"/>
        <w:outlineLvl w:val="9"/>
        <w:rPr>
          <w:rFonts w:hint="eastAsia" w:ascii="宋体" w:hAnsi="宋体" w:cs="宋体"/>
          <w:spacing w:val="-1"/>
          <w:sz w:val="24"/>
          <w:szCs w:val="24"/>
          <w:lang w:val="en-US" w:eastAsia="zh-CN"/>
        </w:rPr>
      </w:pPr>
      <w:r>
        <w:rPr>
          <w:rFonts w:hint="eastAsia" w:ascii="宋体" w:hAnsi="宋体" w:cs="宋体"/>
          <w:spacing w:val="-1"/>
          <w:sz w:val="24"/>
          <w:szCs w:val="24"/>
          <w:lang w:val="en-US" w:eastAsia="zh-CN"/>
        </w:rPr>
        <w:t>五、其它方面（工程维修方协助进行）</w:t>
      </w:r>
    </w:p>
    <w:p w14:paraId="62EE1F89">
      <w:pPr>
        <w:spacing w:line="360" w:lineRule="auto"/>
        <w:ind w:firstLine="1011" w:firstLineChars="423"/>
        <w:jc w:val="both"/>
        <w:outlineLvl w:val="9"/>
        <w:rPr>
          <w:rFonts w:hint="default" w:ascii="宋体" w:hAnsi="宋体" w:cs="宋体"/>
          <w:spacing w:val="-1"/>
          <w:sz w:val="24"/>
          <w:szCs w:val="24"/>
          <w:lang w:val="en-US" w:eastAsia="zh-CN"/>
        </w:rPr>
      </w:pPr>
      <w:r>
        <w:rPr>
          <w:rFonts w:hint="eastAsia" w:ascii="宋体" w:hAnsi="宋体" w:cs="宋体"/>
          <w:b/>
          <w:bCs/>
          <w:spacing w:val="-1"/>
          <w:sz w:val="24"/>
          <w:szCs w:val="24"/>
          <w:lang w:val="en-US" w:eastAsia="zh-CN"/>
        </w:rPr>
        <w:t>（电梯系统方面）</w:t>
      </w:r>
    </w:p>
    <w:p w14:paraId="6A2BF36D">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1、电梯/</w:t>
      </w:r>
      <w:r>
        <w:rPr>
          <w:rFonts w:hint="default" w:ascii="宋体" w:hAnsi="宋体" w:eastAsia="宋体" w:cs="宋体"/>
          <w:spacing w:val="-1"/>
          <w:sz w:val="24"/>
          <w:szCs w:val="24"/>
          <w:lang w:val="en-US" w:eastAsia="zh-CN"/>
        </w:rPr>
        <w:t>协助第三方半月维保，困人救援（不包含电梯维修，专业性救援）</w:t>
      </w:r>
    </w:p>
    <w:p w14:paraId="69C2568E">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2、</w:t>
      </w:r>
      <w:r>
        <w:rPr>
          <w:rFonts w:hint="default" w:ascii="宋体" w:hAnsi="宋体" w:eastAsia="宋体" w:cs="宋体"/>
          <w:spacing w:val="-1"/>
          <w:sz w:val="24"/>
          <w:szCs w:val="24"/>
          <w:lang w:val="en-US" w:eastAsia="zh-CN"/>
        </w:rPr>
        <w:t>机房卫生，电梯五方通话，机房消防电话，灭火器每月检查一次。</w:t>
      </w:r>
    </w:p>
    <w:p w14:paraId="2AADD2F2">
      <w:pPr>
        <w:spacing w:line="360" w:lineRule="auto"/>
        <w:ind w:firstLine="956" w:firstLineChars="400"/>
        <w:jc w:val="both"/>
        <w:outlineLvl w:val="9"/>
        <w:rPr>
          <w:rFonts w:hint="default" w:ascii="宋体" w:hAnsi="宋体" w:eastAsia="宋体" w:cs="宋体"/>
          <w:b/>
          <w:bCs/>
          <w:spacing w:val="-1"/>
          <w:sz w:val="24"/>
          <w:szCs w:val="24"/>
          <w:lang w:val="en-US" w:eastAsia="zh-CN"/>
        </w:rPr>
      </w:pPr>
      <w:r>
        <w:rPr>
          <w:rFonts w:hint="eastAsia" w:ascii="宋体" w:hAnsi="宋体" w:cs="宋体"/>
          <w:b/>
          <w:bCs/>
          <w:spacing w:val="-1"/>
          <w:sz w:val="24"/>
          <w:szCs w:val="24"/>
          <w:lang w:val="en-US" w:eastAsia="zh-CN"/>
        </w:rPr>
        <w:t>（</w:t>
      </w:r>
      <w:r>
        <w:rPr>
          <w:rFonts w:hint="default" w:ascii="宋体" w:hAnsi="宋体" w:eastAsia="宋体" w:cs="宋体"/>
          <w:b/>
          <w:bCs/>
          <w:spacing w:val="-1"/>
          <w:sz w:val="24"/>
          <w:szCs w:val="24"/>
          <w:lang w:val="en-US" w:eastAsia="zh-CN"/>
        </w:rPr>
        <w:t>消防系统</w:t>
      </w:r>
      <w:r>
        <w:rPr>
          <w:rFonts w:hint="eastAsia" w:ascii="宋体" w:hAnsi="宋体" w:cs="宋体"/>
          <w:b/>
          <w:bCs/>
          <w:spacing w:val="-1"/>
          <w:sz w:val="24"/>
          <w:szCs w:val="24"/>
          <w:lang w:val="en-US" w:eastAsia="zh-CN"/>
        </w:rPr>
        <w:t>方面）</w:t>
      </w:r>
    </w:p>
    <w:p w14:paraId="02BB0C51">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w:t>
      </w:r>
      <w:r>
        <w:rPr>
          <w:rFonts w:hint="default" w:ascii="宋体" w:hAnsi="宋体" w:eastAsia="宋体" w:cs="宋体"/>
          <w:spacing w:val="-1"/>
          <w:sz w:val="24"/>
          <w:szCs w:val="24"/>
          <w:lang w:val="en-US" w:eastAsia="zh-CN"/>
        </w:rPr>
        <w:t>喷淋及消火栓系统发生漏水情况</w:t>
      </w:r>
      <w:r>
        <w:rPr>
          <w:rFonts w:hint="eastAsia" w:ascii="宋体" w:hAnsi="宋体" w:cs="宋体"/>
          <w:spacing w:val="-1"/>
          <w:sz w:val="24"/>
          <w:szCs w:val="24"/>
          <w:lang w:val="en-US" w:eastAsia="zh-CN"/>
        </w:rPr>
        <w:t>及</w:t>
      </w:r>
      <w:r>
        <w:rPr>
          <w:rFonts w:hint="default" w:ascii="宋体" w:hAnsi="宋体" w:eastAsia="宋体" w:cs="宋体"/>
          <w:spacing w:val="-1"/>
          <w:sz w:val="24"/>
          <w:szCs w:val="24"/>
          <w:lang w:val="en-US" w:eastAsia="zh-CN"/>
        </w:rPr>
        <w:t>时</w:t>
      </w:r>
      <w:r>
        <w:rPr>
          <w:rFonts w:hint="eastAsia" w:ascii="宋体" w:hAnsi="宋体" w:cs="宋体"/>
          <w:spacing w:val="-1"/>
          <w:sz w:val="24"/>
          <w:szCs w:val="24"/>
          <w:lang w:val="en-US" w:eastAsia="zh-CN"/>
        </w:rPr>
        <w:t>维修</w:t>
      </w:r>
      <w:r>
        <w:rPr>
          <w:rFonts w:hint="default" w:ascii="宋体" w:hAnsi="宋体" w:eastAsia="宋体" w:cs="宋体"/>
          <w:spacing w:val="-1"/>
          <w:sz w:val="24"/>
          <w:szCs w:val="24"/>
          <w:lang w:val="en-US" w:eastAsia="zh-CN"/>
        </w:rPr>
        <w:t>处理，火灾报警器故障及时</w:t>
      </w:r>
      <w:r>
        <w:rPr>
          <w:rFonts w:hint="eastAsia" w:ascii="宋体" w:hAnsi="宋体" w:cs="宋体"/>
          <w:spacing w:val="-1"/>
          <w:sz w:val="24"/>
          <w:szCs w:val="24"/>
          <w:lang w:val="en-US" w:eastAsia="zh-CN"/>
        </w:rPr>
        <w:t>维修</w:t>
      </w:r>
      <w:r>
        <w:rPr>
          <w:rFonts w:hint="default" w:ascii="宋体" w:hAnsi="宋体" w:eastAsia="宋体" w:cs="宋体"/>
          <w:spacing w:val="-1"/>
          <w:sz w:val="24"/>
          <w:szCs w:val="24"/>
          <w:lang w:val="en-US" w:eastAsia="zh-CN"/>
        </w:rPr>
        <w:t>处理。</w:t>
      </w:r>
    </w:p>
    <w:p w14:paraId="5893BDCE">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2、</w:t>
      </w:r>
      <w:r>
        <w:rPr>
          <w:rFonts w:hint="default" w:ascii="宋体" w:hAnsi="宋体" w:eastAsia="宋体" w:cs="宋体"/>
          <w:spacing w:val="-1"/>
          <w:sz w:val="24"/>
          <w:szCs w:val="24"/>
          <w:lang w:val="en-US" w:eastAsia="zh-CN"/>
        </w:rPr>
        <w:t>防火门闭门器</w:t>
      </w:r>
      <w:r>
        <w:rPr>
          <w:rFonts w:hint="eastAsia" w:ascii="宋体" w:hAnsi="宋体" w:cs="宋体"/>
          <w:spacing w:val="-1"/>
          <w:sz w:val="24"/>
          <w:szCs w:val="24"/>
          <w:lang w:val="en-US" w:eastAsia="zh-CN"/>
        </w:rPr>
        <w:t>损坏</w:t>
      </w:r>
      <w:r>
        <w:rPr>
          <w:rFonts w:hint="default" w:ascii="宋体" w:hAnsi="宋体" w:eastAsia="宋体" w:cs="宋体"/>
          <w:spacing w:val="-1"/>
          <w:sz w:val="24"/>
          <w:szCs w:val="24"/>
          <w:lang w:val="en-US" w:eastAsia="zh-CN"/>
        </w:rPr>
        <w:t>更换维修，消防安全指示牌</w:t>
      </w:r>
      <w:r>
        <w:rPr>
          <w:rFonts w:hint="eastAsia" w:ascii="宋体" w:hAnsi="宋体" w:cs="宋体"/>
          <w:spacing w:val="-1"/>
          <w:sz w:val="24"/>
          <w:szCs w:val="24"/>
          <w:lang w:val="en-US" w:eastAsia="zh-CN"/>
        </w:rPr>
        <w:t>损坏</w:t>
      </w:r>
      <w:r>
        <w:rPr>
          <w:rFonts w:hint="default" w:ascii="宋体" w:hAnsi="宋体" w:eastAsia="宋体" w:cs="宋体"/>
          <w:spacing w:val="-1"/>
          <w:sz w:val="24"/>
          <w:szCs w:val="24"/>
          <w:lang w:val="en-US" w:eastAsia="zh-CN"/>
        </w:rPr>
        <w:t>更换维修。</w:t>
      </w:r>
    </w:p>
    <w:p w14:paraId="7716BBCA">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3、</w:t>
      </w:r>
      <w:r>
        <w:rPr>
          <w:rFonts w:hint="default" w:ascii="宋体" w:hAnsi="宋体" w:eastAsia="宋体" w:cs="宋体"/>
          <w:spacing w:val="-1"/>
          <w:sz w:val="24"/>
          <w:szCs w:val="24"/>
          <w:lang w:val="en-US" w:eastAsia="zh-CN"/>
        </w:rPr>
        <w:t>配合商户喷淋消防改造时关闭信号蝶阀，泄水。改造完毕后注水及检查有无漏水情况。</w:t>
      </w:r>
    </w:p>
    <w:p w14:paraId="7DBA05B5">
      <w:pPr>
        <w:spacing w:line="360" w:lineRule="auto"/>
        <w:ind w:firstLine="956" w:firstLineChars="400"/>
        <w:jc w:val="both"/>
        <w:outlineLvl w:val="9"/>
        <w:rPr>
          <w:rFonts w:hint="default" w:ascii="宋体" w:hAnsi="宋体" w:eastAsia="宋体" w:cs="宋体"/>
          <w:b/>
          <w:bCs/>
          <w:spacing w:val="-1"/>
          <w:sz w:val="24"/>
          <w:szCs w:val="24"/>
          <w:lang w:val="en-US" w:eastAsia="zh-CN"/>
        </w:rPr>
      </w:pPr>
      <w:r>
        <w:rPr>
          <w:rFonts w:hint="eastAsia" w:ascii="宋体" w:hAnsi="宋体" w:cs="宋体"/>
          <w:b/>
          <w:bCs/>
          <w:spacing w:val="-1"/>
          <w:sz w:val="24"/>
          <w:szCs w:val="24"/>
          <w:lang w:val="en-US" w:eastAsia="zh-CN"/>
        </w:rPr>
        <w:t>（</w:t>
      </w:r>
      <w:r>
        <w:rPr>
          <w:rFonts w:hint="default" w:ascii="宋体" w:hAnsi="宋体" w:eastAsia="宋体" w:cs="宋体"/>
          <w:b/>
          <w:bCs/>
          <w:spacing w:val="-1"/>
          <w:sz w:val="24"/>
          <w:szCs w:val="24"/>
          <w:lang w:val="en-US" w:eastAsia="zh-CN"/>
        </w:rPr>
        <w:t>弱电</w:t>
      </w:r>
      <w:r>
        <w:rPr>
          <w:rFonts w:hint="eastAsia" w:ascii="宋体" w:hAnsi="宋体" w:cs="宋体"/>
          <w:b/>
          <w:bCs/>
          <w:spacing w:val="-1"/>
          <w:sz w:val="24"/>
          <w:szCs w:val="24"/>
          <w:lang w:val="en-US" w:eastAsia="zh-CN"/>
        </w:rPr>
        <w:t>系统方面）</w:t>
      </w:r>
    </w:p>
    <w:p w14:paraId="636966CA">
      <w:pPr>
        <w:spacing w:line="360" w:lineRule="auto"/>
        <w:ind w:firstLine="476" w:firstLineChars="200"/>
        <w:jc w:val="both"/>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1、</w:t>
      </w:r>
      <w:r>
        <w:rPr>
          <w:rFonts w:hint="default" w:ascii="宋体" w:hAnsi="宋体" w:eastAsia="宋体" w:cs="宋体"/>
          <w:spacing w:val="-1"/>
          <w:sz w:val="24"/>
          <w:szCs w:val="24"/>
          <w:lang w:val="en-US" w:eastAsia="zh-CN"/>
        </w:rPr>
        <w:t>监控、门禁、停车场系统日常简单故障</w:t>
      </w:r>
      <w:r>
        <w:rPr>
          <w:rFonts w:hint="eastAsia" w:ascii="宋体" w:hAnsi="宋体" w:cs="宋体"/>
          <w:spacing w:val="-1"/>
          <w:sz w:val="24"/>
          <w:szCs w:val="24"/>
          <w:lang w:val="en-US" w:eastAsia="zh-CN"/>
        </w:rPr>
        <w:t>排除</w:t>
      </w:r>
      <w:r>
        <w:rPr>
          <w:rFonts w:hint="default" w:ascii="宋体" w:hAnsi="宋体" w:eastAsia="宋体" w:cs="宋体"/>
          <w:spacing w:val="-1"/>
          <w:sz w:val="24"/>
          <w:szCs w:val="24"/>
          <w:lang w:val="en-US" w:eastAsia="zh-CN"/>
        </w:rPr>
        <w:t>（涉及专业性维修需找厂家专业人员处理）</w:t>
      </w:r>
    </w:p>
    <w:p w14:paraId="14C65C62">
      <w:pPr>
        <w:widowControl/>
        <w:spacing w:line="360" w:lineRule="auto"/>
        <w:ind w:firstLine="476" w:firstLineChars="200"/>
        <w:jc w:val="left"/>
        <w:outlineLvl w:val="9"/>
        <w:rPr>
          <w:rFonts w:hint="eastAsia" w:ascii="宋体" w:hAnsi="宋体" w:eastAsia="宋体" w:cs="宋体"/>
          <w:spacing w:val="-1"/>
          <w:sz w:val="24"/>
          <w:szCs w:val="24"/>
          <w:lang w:val="en-US" w:eastAsia="zh-CN"/>
        </w:rPr>
      </w:pPr>
    </w:p>
    <w:p w14:paraId="1D9B98F6">
      <w:pPr>
        <w:widowControl/>
        <w:spacing w:line="360" w:lineRule="auto"/>
        <w:ind w:firstLine="476" w:firstLineChars="200"/>
        <w:jc w:val="left"/>
        <w:outlineLvl w:val="9"/>
        <w:rPr>
          <w:rFonts w:hint="default" w:ascii="宋体" w:hAnsi="宋体" w:eastAsia="宋体" w:cs="宋体"/>
          <w:spacing w:val="-1"/>
          <w:sz w:val="24"/>
          <w:szCs w:val="24"/>
          <w:lang w:val="en-US" w:eastAsia="zh-CN"/>
        </w:rPr>
      </w:pPr>
      <w:r>
        <w:rPr>
          <w:rFonts w:hint="eastAsia" w:ascii="宋体" w:hAnsi="宋体" w:cs="宋体"/>
          <w:spacing w:val="-1"/>
          <w:sz w:val="24"/>
          <w:szCs w:val="24"/>
          <w:lang w:val="en-US" w:eastAsia="zh-CN"/>
        </w:rPr>
        <w:t>六、除上述服务内容外，其它</w:t>
      </w:r>
      <w:r>
        <w:rPr>
          <w:rFonts w:hint="eastAsia" w:ascii="宋体" w:hAnsi="宋体" w:eastAsia="宋体" w:cs="宋体"/>
          <w:spacing w:val="-1"/>
          <w:sz w:val="24"/>
          <w:szCs w:val="24"/>
          <w:lang w:val="en-US" w:eastAsia="zh-CN"/>
        </w:rPr>
        <w:t>特殊专业（如：消防、电梯、强电、弱电、安防、景观照明等）的维修，甲方另行委托专业团队或人员进行维修。不包含在本合同服务范围内。</w:t>
      </w:r>
    </w:p>
    <w:p w14:paraId="4DF2BFA7">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b/>
          <w:bCs/>
          <w:sz w:val="28"/>
          <w:szCs w:val="28"/>
          <w:highlight w:val="none"/>
          <w:lang w:val="en-US" w:eastAsia="zh-CN"/>
        </w:rPr>
      </w:pPr>
    </w:p>
    <w:p w14:paraId="6C5F8066">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b/>
          <w:bCs/>
          <w:sz w:val="30"/>
          <w:szCs w:val="30"/>
          <w:highlight w:val="none"/>
          <w:lang w:val="en-US" w:eastAsia="zh-CN"/>
        </w:rPr>
      </w:pPr>
      <w:r>
        <w:rPr>
          <w:rFonts w:hint="eastAsia" w:ascii="宋体" w:hAnsi="宋体" w:cs="宋体"/>
          <w:b/>
          <w:bCs/>
          <w:sz w:val="30"/>
          <w:szCs w:val="30"/>
          <w:highlight w:val="none"/>
          <w:lang w:val="en-US" w:eastAsia="zh-CN"/>
        </w:rPr>
        <w:t>维修期间</w:t>
      </w:r>
      <w:r>
        <w:rPr>
          <w:rFonts w:hint="eastAsia" w:ascii="宋体" w:hAnsi="宋体" w:eastAsia="宋体" w:cs="宋体"/>
          <w:b/>
          <w:bCs/>
          <w:sz w:val="30"/>
          <w:szCs w:val="30"/>
          <w:highlight w:val="none"/>
          <w:lang w:val="en-US" w:eastAsia="zh-CN"/>
        </w:rPr>
        <w:t>零配件费用</w:t>
      </w:r>
    </w:p>
    <w:p w14:paraId="622C9F6B">
      <w:pPr>
        <w:spacing w:line="360" w:lineRule="auto"/>
        <w:ind w:firstLine="476" w:firstLineChars="200"/>
        <w:jc w:val="both"/>
        <w:outlineLvl w:val="9"/>
        <w:rPr>
          <w:rFonts w:hint="eastAsia" w:ascii="宋体" w:hAnsi="宋体" w:cs="宋体"/>
          <w:spacing w:val="-1"/>
          <w:sz w:val="24"/>
          <w:szCs w:val="24"/>
          <w:lang w:val="en-US" w:eastAsia="zh-CN"/>
        </w:rPr>
      </w:pPr>
    </w:p>
    <w:p w14:paraId="2F379AF3">
      <w:pPr>
        <w:spacing w:line="360" w:lineRule="auto"/>
        <w:ind w:firstLine="476" w:firstLineChars="200"/>
        <w:jc w:val="both"/>
        <w:outlineLvl w:val="9"/>
        <w:rPr>
          <w:rFonts w:hint="eastAsia" w:ascii="宋体" w:hAnsi="宋体" w:cs="宋体"/>
          <w:spacing w:val="-1"/>
          <w:sz w:val="24"/>
          <w:szCs w:val="24"/>
          <w:lang w:val="en-US" w:eastAsia="zh-CN"/>
        </w:rPr>
      </w:pPr>
      <w:r>
        <w:rPr>
          <w:rFonts w:hint="eastAsia" w:ascii="宋体" w:hAnsi="宋体" w:cs="宋体"/>
          <w:spacing w:val="-1"/>
          <w:sz w:val="24"/>
          <w:szCs w:val="24"/>
          <w:lang w:val="en-US" w:eastAsia="zh-CN"/>
        </w:rPr>
        <w:t>服务期间，因设施设备损坏、失效，需要更换、维修的，维修材料费用维修保养所需配件、耗材等单价、单次 200 元（包含本数）以下及全年累计金额不超过10080元等全部费用，甲方无须再向乙方支付任何费用（另有约定除外）。</w:t>
      </w:r>
    </w:p>
    <w:p w14:paraId="131C3E43">
      <w:pPr>
        <w:widowControl/>
        <w:numPr>
          <w:ilvl w:val="0"/>
          <w:numId w:val="0"/>
        </w:numPr>
        <w:spacing w:line="360" w:lineRule="auto"/>
        <w:jc w:val="left"/>
        <w:outlineLvl w:val="9"/>
        <w:rPr>
          <w:rFonts w:hint="eastAsia" w:ascii="宋体" w:hAnsi="宋体" w:eastAsia="宋体" w:cs="宋体"/>
          <w:spacing w:val="-1"/>
          <w:sz w:val="24"/>
          <w:szCs w:val="24"/>
          <w:lang w:val="en-US" w:eastAsia="zh-CN"/>
        </w:rPr>
      </w:pPr>
    </w:p>
    <w:p w14:paraId="0CC16FB5">
      <w:pPr>
        <w:keepNext w:val="0"/>
        <w:keepLines w:val="0"/>
        <w:pageBreakBefore w:val="0"/>
        <w:widowControl w:val="0"/>
        <w:kinsoku/>
        <w:wordWrap/>
        <w:overflowPunct/>
        <w:topLinePunct w:val="0"/>
        <w:autoSpaceDE/>
        <w:autoSpaceDN/>
        <w:bidi w:val="0"/>
        <w:adjustRightInd/>
        <w:snapToGrid/>
        <w:spacing w:line="600" w:lineRule="exact"/>
        <w:ind w:firstLine="562" w:firstLineChars="200"/>
        <w:jc w:val="both"/>
        <w:textAlignment w:val="auto"/>
        <w:outlineLvl w:val="9"/>
        <w:rPr>
          <w:rFonts w:hint="eastAsia" w:ascii="宋体" w:hAnsi="宋体" w:eastAsia="宋体" w:cs="宋体"/>
          <w:b/>
          <w:bCs/>
          <w:sz w:val="28"/>
          <w:szCs w:val="28"/>
          <w:highlight w:val="none"/>
          <w:lang w:val="en-US" w:eastAsia="zh-CN"/>
        </w:rPr>
      </w:pPr>
    </w:p>
    <w:p w14:paraId="58AAFEDC">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宋体" w:hAnsi="宋体" w:eastAsia="宋体" w:cs="宋体"/>
          <w:b/>
          <w:bCs/>
          <w:sz w:val="28"/>
          <w:szCs w:val="28"/>
          <w:highlight w:val="none"/>
        </w:rPr>
      </w:pPr>
    </w:p>
    <w:p w14:paraId="6727D339">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宋体" w:hAnsi="宋体" w:eastAsia="宋体" w:cs="宋体"/>
          <w:b/>
          <w:bCs/>
          <w:sz w:val="28"/>
          <w:szCs w:val="28"/>
          <w:highlight w:val="none"/>
        </w:rPr>
      </w:pPr>
    </w:p>
    <w:p w14:paraId="23A551E2">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附件</w:t>
      </w:r>
      <w:r>
        <w:rPr>
          <w:rFonts w:hint="eastAsia" w:ascii="宋体" w:hAnsi="宋体" w:eastAsia="宋体" w:cs="宋体"/>
          <w:b/>
          <w:bCs/>
          <w:sz w:val="28"/>
          <w:szCs w:val="28"/>
          <w:highlight w:val="none"/>
          <w:lang w:val="en-US" w:eastAsia="zh-CN"/>
        </w:rPr>
        <w:t>二</w:t>
      </w:r>
      <w:r>
        <w:rPr>
          <w:rFonts w:hint="eastAsia" w:ascii="宋体" w:hAnsi="宋体" w:eastAsia="宋体" w:cs="宋体"/>
          <w:b/>
          <w:bCs/>
          <w:sz w:val="28"/>
          <w:szCs w:val="28"/>
          <w:highlight w:val="none"/>
        </w:rPr>
        <w:t>:绩效评价及标准</w:t>
      </w:r>
    </w:p>
    <w:p w14:paraId="052205B0">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绩效评价及标准</w:t>
      </w:r>
    </w:p>
    <w:p w14:paraId="537C14E0">
      <w:pPr>
        <w:keepNext w:val="0"/>
        <w:keepLines w:val="0"/>
        <w:pageBreakBefore w:val="0"/>
        <w:widowControl w:val="0"/>
        <w:kinsoku/>
        <w:wordWrap/>
        <w:overflowPunct/>
        <w:topLinePunct w:val="0"/>
        <w:autoSpaceDE/>
        <w:autoSpaceDN/>
        <w:bidi w:val="0"/>
        <w:adjustRightInd w:val="0"/>
        <w:snapToGrid w:val="0"/>
        <w:spacing w:line="540" w:lineRule="exact"/>
        <w:jc w:val="both"/>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考核单位：张家口霖辉物业管理集团有限公司              考核时间：  </w:t>
      </w:r>
    </w:p>
    <w:p w14:paraId="17276399">
      <w:pPr>
        <w:keepNext w:val="0"/>
        <w:keepLines w:val="0"/>
        <w:pageBreakBefore w:val="0"/>
        <w:widowControl w:val="0"/>
        <w:kinsoku/>
        <w:wordWrap/>
        <w:overflowPunct/>
        <w:topLinePunct w:val="0"/>
        <w:autoSpaceDE/>
        <w:autoSpaceDN/>
        <w:bidi w:val="0"/>
        <w:adjustRightInd w:val="0"/>
        <w:snapToGrid w:val="0"/>
        <w:spacing w:line="540" w:lineRule="exact"/>
        <w:jc w:val="both"/>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被考核单位：张家口岩林市政工程有限公司              </w:t>
      </w:r>
      <w:r>
        <w:rPr>
          <w:rFonts w:hint="eastAsia" w:ascii="宋体" w:hAnsi="宋体" w:cs="宋体"/>
          <w:b w:val="0"/>
          <w:bCs w:val="0"/>
          <w:sz w:val="24"/>
          <w:szCs w:val="24"/>
          <w:highlight w:val="none"/>
          <w:lang w:val="en-US" w:eastAsia="zh-CN"/>
        </w:rPr>
        <w:t xml:space="preserve">  </w:t>
      </w:r>
      <w:r>
        <w:rPr>
          <w:rFonts w:hint="eastAsia" w:ascii="宋体" w:hAnsi="宋体" w:eastAsia="宋体" w:cs="宋体"/>
          <w:b w:val="0"/>
          <w:bCs w:val="0"/>
          <w:sz w:val="24"/>
          <w:szCs w:val="24"/>
          <w:highlight w:val="none"/>
          <w:lang w:val="en-US" w:eastAsia="zh-CN"/>
        </w:rPr>
        <w:t>考核得分：</w:t>
      </w:r>
    </w:p>
    <w:tbl>
      <w:tblPr>
        <w:tblStyle w:val="15"/>
        <w:tblW w:w="9742" w:type="dxa"/>
        <w:tblInd w:w="114" w:type="dxa"/>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27"/>
        <w:gridCol w:w="823"/>
        <w:gridCol w:w="1807"/>
        <w:gridCol w:w="4465"/>
        <w:gridCol w:w="576"/>
        <w:gridCol w:w="860"/>
        <w:gridCol w:w="574"/>
        <w:gridCol w:w="10"/>
      </w:tblGrid>
      <w:tr w14:paraId="785FF99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79" w:hRule="atLeast"/>
        </w:trPr>
        <w:tc>
          <w:tcPr>
            <w:tcW w:w="627" w:type="dxa"/>
            <w:tcBorders>
              <w:tl2br w:val="nil"/>
              <w:tr2bl w:val="nil"/>
            </w:tcBorders>
            <w:shd w:val="clear" w:color="000000" w:fill="FFFFFF"/>
            <w:noWrap w:val="0"/>
            <w:vAlign w:val="center"/>
          </w:tcPr>
          <w:p w14:paraId="54FF0699">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outlineLvl w:val="9"/>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rPr>
              <w:t>序号</w:t>
            </w:r>
          </w:p>
        </w:tc>
        <w:tc>
          <w:tcPr>
            <w:tcW w:w="823" w:type="dxa"/>
            <w:tcBorders>
              <w:tl2br w:val="nil"/>
              <w:tr2bl w:val="nil"/>
            </w:tcBorders>
            <w:shd w:val="clear" w:color="000000" w:fill="FFFFFF"/>
            <w:noWrap w:val="0"/>
            <w:vAlign w:val="center"/>
          </w:tcPr>
          <w:p w14:paraId="033D095C">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outlineLvl w:val="9"/>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rPr>
              <w:t>评价内容</w:t>
            </w:r>
          </w:p>
        </w:tc>
        <w:tc>
          <w:tcPr>
            <w:tcW w:w="6272" w:type="dxa"/>
            <w:gridSpan w:val="2"/>
            <w:tcBorders>
              <w:tl2br w:val="nil"/>
              <w:tr2bl w:val="nil"/>
            </w:tcBorders>
            <w:shd w:val="clear" w:color="000000" w:fill="FFFFFF"/>
            <w:noWrap w:val="0"/>
            <w:vAlign w:val="center"/>
          </w:tcPr>
          <w:p w14:paraId="6E87E614">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outlineLvl w:val="9"/>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b w:val="0"/>
                <w:bCs w:val="0"/>
                <w:sz w:val="24"/>
                <w:szCs w:val="24"/>
                <w:highlight w:val="none"/>
              </w:rPr>
              <w:t>绩效评价及标准</w:t>
            </w:r>
          </w:p>
        </w:tc>
        <w:tc>
          <w:tcPr>
            <w:tcW w:w="576" w:type="dxa"/>
            <w:tcBorders>
              <w:tl2br w:val="nil"/>
              <w:tr2bl w:val="nil"/>
            </w:tcBorders>
            <w:shd w:val="clear" w:color="000000" w:fill="FFFFFF"/>
            <w:noWrap w:val="0"/>
            <w:vAlign w:val="center"/>
          </w:tcPr>
          <w:p w14:paraId="11DB309A">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outlineLvl w:val="9"/>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rPr>
              <w:t>分值</w:t>
            </w:r>
          </w:p>
        </w:tc>
        <w:tc>
          <w:tcPr>
            <w:tcW w:w="860" w:type="dxa"/>
            <w:tcBorders>
              <w:tl2br w:val="nil"/>
              <w:tr2bl w:val="nil"/>
            </w:tcBorders>
            <w:shd w:val="clear" w:color="000000" w:fill="FFFFFF"/>
            <w:noWrap w:val="0"/>
            <w:vAlign w:val="center"/>
          </w:tcPr>
          <w:p w14:paraId="0ED9A4BF">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outlineLvl w:val="9"/>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rPr>
              <w:t>评分细则</w:t>
            </w:r>
          </w:p>
        </w:tc>
        <w:tc>
          <w:tcPr>
            <w:tcW w:w="584" w:type="dxa"/>
            <w:gridSpan w:val="2"/>
            <w:tcBorders>
              <w:tl2br w:val="nil"/>
              <w:tr2bl w:val="nil"/>
            </w:tcBorders>
            <w:shd w:val="clear" w:color="000000" w:fill="FFFFFF"/>
            <w:noWrap w:val="0"/>
            <w:vAlign w:val="center"/>
          </w:tcPr>
          <w:p w14:paraId="5FD56C6C">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outlineLvl w:val="9"/>
              <w:rPr>
                <w:rFonts w:hint="eastAsia" w:ascii="宋体" w:hAnsi="宋体" w:eastAsia="宋体" w:cs="宋体"/>
                <w:kern w:val="0"/>
                <w:sz w:val="24"/>
                <w:szCs w:val="24"/>
                <w:lang w:val="en-US" w:eastAsia="zh-CN" w:bidi="ar-SA"/>
              </w:rPr>
            </w:pPr>
            <w:r>
              <w:rPr>
                <w:rFonts w:hint="eastAsia" w:asciiTheme="minorEastAsia" w:hAnsiTheme="minorEastAsia" w:eastAsiaTheme="minorEastAsia" w:cstheme="minorEastAsia"/>
                <w:kern w:val="0"/>
                <w:sz w:val="24"/>
                <w:szCs w:val="24"/>
                <w:lang w:val="en-US" w:eastAsia="zh-CN"/>
              </w:rPr>
              <w:t>扣分</w:t>
            </w:r>
          </w:p>
        </w:tc>
      </w:tr>
      <w:tr w14:paraId="1834BB16">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05" w:hRule="atLeast"/>
        </w:trPr>
        <w:tc>
          <w:tcPr>
            <w:tcW w:w="627" w:type="dxa"/>
            <w:vMerge w:val="restart"/>
            <w:tcBorders>
              <w:tl2br w:val="nil"/>
              <w:tr2bl w:val="nil"/>
            </w:tcBorders>
            <w:noWrap w:val="0"/>
            <w:vAlign w:val="center"/>
          </w:tcPr>
          <w:p w14:paraId="6D9941A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b w:val="0"/>
                <w:bCs w:val="0"/>
                <w:i w:val="0"/>
                <w:iCs w:val="0"/>
                <w:color w:val="000000"/>
                <w:kern w:val="0"/>
                <w:sz w:val="24"/>
                <w:szCs w:val="24"/>
                <w:u w:val="none"/>
                <w:lang w:val="en-US" w:eastAsia="zh-CN" w:bidi="ar"/>
              </w:rPr>
              <w:t>一</w:t>
            </w:r>
          </w:p>
        </w:tc>
        <w:tc>
          <w:tcPr>
            <w:tcW w:w="823" w:type="dxa"/>
            <w:vMerge w:val="restart"/>
            <w:tcBorders>
              <w:tl2br w:val="nil"/>
              <w:tr2bl w:val="nil"/>
            </w:tcBorders>
            <w:noWrap w:val="0"/>
            <w:vAlign w:val="center"/>
          </w:tcPr>
          <w:p w14:paraId="77C47ED2">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kern w:val="0"/>
                <w:sz w:val="24"/>
                <w:szCs w:val="24"/>
              </w:rPr>
            </w:pPr>
            <w:r>
              <w:rPr>
                <w:rFonts w:hint="eastAsia" w:asciiTheme="minorEastAsia" w:hAnsiTheme="minorEastAsia" w:cstheme="minorEastAsia"/>
                <w:b w:val="0"/>
                <w:bCs w:val="0"/>
                <w:i w:val="0"/>
                <w:iCs w:val="0"/>
                <w:color w:val="000000"/>
                <w:kern w:val="0"/>
                <w:sz w:val="24"/>
                <w:szCs w:val="24"/>
                <w:u w:val="none"/>
                <w:lang w:val="en-US" w:eastAsia="zh-CN" w:bidi="ar"/>
              </w:rPr>
              <w:t>岗位要求</w:t>
            </w:r>
          </w:p>
        </w:tc>
        <w:tc>
          <w:tcPr>
            <w:tcW w:w="6272" w:type="dxa"/>
            <w:gridSpan w:val="2"/>
            <w:tcBorders>
              <w:tl2br w:val="nil"/>
              <w:tr2bl w:val="nil"/>
            </w:tcBorders>
            <w:noWrap w:val="0"/>
            <w:vAlign w:val="center"/>
          </w:tcPr>
          <w:p w14:paraId="5204027F">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kern w:val="0"/>
                <w:sz w:val="24"/>
                <w:szCs w:val="24"/>
                <w:lang w:eastAsia="zh-CN"/>
              </w:rPr>
            </w:pPr>
            <w:r>
              <w:rPr>
                <w:rFonts w:hint="eastAsia" w:asciiTheme="minorEastAsia" w:hAnsiTheme="minorEastAsia" w:cstheme="minorEastAsia"/>
                <w:b w:val="0"/>
                <w:bCs w:val="0"/>
                <w:i w:val="0"/>
                <w:iCs w:val="0"/>
                <w:color w:val="000000"/>
                <w:kern w:val="0"/>
                <w:sz w:val="24"/>
                <w:szCs w:val="24"/>
                <w:u w:val="none"/>
                <w:lang w:val="en-US" w:eastAsia="zh-CN" w:bidi="ar"/>
              </w:rPr>
              <w:t>1.</w:t>
            </w:r>
            <w:r>
              <w:rPr>
                <w:rFonts w:hint="eastAsia" w:asciiTheme="minorEastAsia" w:hAnsiTheme="minorEastAsia" w:eastAsiaTheme="minorEastAsia" w:cstheme="minorEastAsia"/>
                <w:sz w:val="24"/>
                <w:szCs w:val="24"/>
                <w:lang w:val="en-US" w:eastAsia="zh-CN"/>
              </w:rPr>
              <w:t>维保作业人员须取得相应特种设备作业人员证，</w:t>
            </w:r>
            <w:r>
              <w:rPr>
                <w:rFonts w:hint="eastAsia" w:asciiTheme="minorEastAsia" w:hAnsiTheme="minorEastAsia" w:eastAsiaTheme="minorEastAsia" w:cstheme="minorEastAsia"/>
                <w:b w:val="0"/>
                <w:bCs w:val="0"/>
                <w:sz w:val="24"/>
                <w:szCs w:val="24"/>
                <w:lang w:val="en-US" w:eastAsia="zh-CN"/>
              </w:rPr>
              <w:t>经过安全技术培训，否则不得从事相关工作</w:t>
            </w:r>
            <w:r>
              <w:rPr>
                <w:rFonts w:hint="eastAsia" w:asciiTheme="minorEastAsia" w:hAnsiTheme="minorEastAsia" w:cstheme="minorEastAsia"/>
                <w:b w:val="0"/>
                <w:bCs w:val="0"/>
                <w:i w:val="0"/>
                <w:iCs w:val="0"/>
                <w:color w:val="000000"/>
                <w:kern w:val="0"/>
                <w:sz w:val="24"/>
                <w:szCs w:val="24"/>
                <w:u w:val="none"/>
                <w:lang w:val="en-US" w:eastAsia="zh-CN" w:bidi="ar"/>
              </w:rPr>
              <w:t>。</w:t>
            </w:r>
          </w:p>
        </w:tc>
        <w:tc>
          <w:tcPr>
            <w:tcW w:w="576" w:type="dxa"/>
            <w:tcBorders>
              <w:tl2br w:val="nil"/>
              <w:tr2bl w:val="nil"/>
            </w:tcBorders>
            <w:noWrap w:val="0"/>
            <w:vAlign w:val="center"/>
          </w:tcPr>
          <w:p w14:paraId="00CA2F1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sz w:val="24"/>
                <w:szCs w:val="24"/>
                <w:u w:val="none"/>
                <w:lang w:val="en-US" w:eastAsia="zh-CN"/>
              </w:rPr>
              <w:t>10</w:t>
            </w:r>
          </w:p>
        </w:tc>
        <w:tc>
          <w:tcPr>
            <w:tcW w:w="860" w:type="dxa"/>
            <w:tcBorders>
              <w:tl2br w:val="nil"/>
              <w:tr2bl w:val="nil"/>
            </w:tcBorders>
            <w:noWrap w:val="0"/>
            <w:vAlign w:val="center"/>
          </w:tcPr>
          <w:p w14:paraId="498364B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color w:val="000000"/>
                <w:sz w:val="21"/>
                <w:szCs w:val="21"/>
                <w:highlight w:val="none"/>
              </w:rPr>
              <w:t>维保人员不具备资格的扣</w:t>
            </w:r>
            <w:r>
              <w:rPr>
                <w:rFonts w:hint="eastAsia" w:asciiTheme="minorEastAsia" w:hAnsiTheme="minorEastAsia" w:cstheme="minorEastAsia"/>
                <w:color w:val="000000"/>
                <w:sz w:val="21"/>
                <w:szCs w:val="21"/>
                <w:highlight w:val="none"/>
                <w:lang w:val="en-US" w:eastAsia="zh-CN"/>
              </w:rPr>
              <w:t>2</w:t>
            </w:r>
            <w:r>
              <w:rPr>
                <w:rFonts w:hint="eastAsia" w:asciiTheme="minorEastAsia" w:hAnsiTheme="minorEastAsia" w:eastAsiaTheme="minorEastAsia" w:cstheme="minorEastAsia"/>
                <w:color w:val="000000"/>
                <w:sz w:val="21"/>
                <w:szCs w:val="21"/>
                <w:highlight w:val="none"/>
              </w:rPr>
              <w:t>分/人次</w:t>
            </w:r>
            <w:r>
              <w:rPr>
                <w:rFonts w:hint="eastAsia" w:asciiTheme="minorEastAsia" w:hAnsiTheme="minorEastAsia" w:cstheme="minorEastAsia"/>
                <w:color w:val="000000"/>
                <w:sz w:val="21"/>
                <w:szCs w:val="21"/>
                <w:highlight w:val="none"/>
                <w:lang w:eastAsia="zh-CN"/>
              </w:rPr>
              <w:t>，且不允许上岗。</w:t>
            </w:r>
          </w:p>
        </w:tc>
        <w:tc>
          <w:tcPr>
            <w:tcW w:w="584" w:type="dxa"/>
            <w:gridSpan w:val="2"/>
            <w:tcBorders>
              <w:tl2br w:val="nil"/>
              <w:tr2bl w:val="nil"/>
            </w:tcBorders>
            <w:noWrap w:val="0"/>
            <w:vAlign w:val="center"/>
          </w:tcPr>
          <w:p w14:paraId="3FDD5D78">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79FE381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627" w:type="dxa"/>
            <w:vMerge w:val="continue"/>
            <w:tcBorders>
              <w:tl2br w:val="nil"/>
              <w:tr2bl w:val="nil"/>
            </w:tcBorders>
            <w:noWrap w:val="0"/>
            <w:vAlign w:val="center"/>
          </w:tcPr>
          <w:p w14:paraId="5D30589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sz w:val="24"/>
                <w:szCs w:val="24"/>
              </w:rPr>
            </w:pPr>
          </w:p>
        </w:tc>
        <w:tc>
          <w:tcPr>
            <w:tcW w:w="823" w:type="dxa"/>
            <w:vMerge w:val="continue"/>
            <w:tcBorders>
              <w:tl2br w:val="nil"/>
              <w:tr2bl w:val="nil"/>
            </w:tcBorders>
            <w:noWrap w:val="0"/>
            <w:vAlign w:val="center"/>
          </w:tcPr>
          <w:p w14:paraId="1DA450A5">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sz w:val="24"/>
                <w:szCs w:val="24"/>
              </w:rPr>
            </w:pPr>
          </w:p>
        </w:tc>
        <w:tc>
          <w:tcPr>
            <w:tcW w:w="6272" w:type="dxa"/>
            <w:gridSpan w:val="2"/>
            <w:tcBorders>
              <w:tl2br w:val="nil"/>
              <w:tr2bl w:val="nil"/>
            </w:tcBorders>
            <w:noWrap w:val="0"/>
            <w:vAlign w:val="center"/>
          </w:tcPr>
          <w:p w14:paraId="6DAD17D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2.维修人员维修时必须穿长袖衫、长裤、绝缘鞋，使用绝缘工具，严禁穿背心、短裤及不符合电气操作人员的服装，如金属丝钉的纽扣等。</w:t>
            </w:r>
          </w:p>
        </w:tc>
        <w:tc>
          <w:tcPr>
            <w:tcW w:w="576" w:type="dxa"/>
            <w:tcBorders>
              <w:tl2br w:val="nil"/>
              <w:tr2bl w:val="nil"/>
            </w:tcBorders>
            <w:noWrap w:val="0"/>
            <w:vAlign w:val="center"/>
          </w:tcPr>
          <w:p w14:paraId="7B7DEB1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restart"/>
            <w:tcBorders>
              <w:tl2br w:val="nil"/>
              <w:tr2bl w:val="nil"/>
            </w:tcBorders>
            <w:noWrap w:val="0"/>
            <w:vAlign w:val="center"/>
          </w:tcPr>
          <w:p w14:paraId="23F39ED1">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default" w:asciiTheme="minorEastAsia" w:hAnsiTheme="minorEastAsia" w:eastAsiaTheme="minorEastAsia" w:cstheme="minorEastAsia"/>
                <w:b w:val="0"/>
                <w:bCs w:val="0"/>
                <w:sz w:val="21"/>
                <w:szCs w:val="21"/>
                <w:highlight w:val="none"/>
                <w:lang w:val="en-US" w:eastAsia="zh-CN"/>
              </w:rPr>
              <w:t>未按规定执行，</w:t>
            </w:r>
            <w:r>
              <w:rPr>
                <w:rFonts w:hint="eastAsia" w:asciiTheme="minorEastAsia" w:hAnsiTheme="minorEastAsia" w:cstheme="minorEastAsia"/>
                <w:b w:val="0"/>
                <w:bCs w:val="0"/>
                <w:sz w:val="21"/>
                <w:szCs w:val="21"/>
                <w:highlight w:val="none"/>
                <w:lang w:val="en-US" w:eastAsia="zh-CN"/>
              </w:rPr>
              <w:t>每</w:t>
            </w:r>
            <w:r>
              <w:rPr>
                <w:rFonts w:hint="default" w:asciiTheme="minorEastAsia" w:hAnsiTheme="minorEastAsia" w:eastAsiaTheme="minorEastAsia" w:cstheme="minorEastAsia"/>
                <w:b w:val="0"/>
                <w:bCs w:val="0"/>
                <w:sz w:val="21"/>
                <w:szCs w:val="21"/>
                <w:highlight w:val="none"/>
                <w:lang w:val="en-US" w:eastAsia="zh-CN"/>
              </w:rPr>
              <w:t>发现一次扣</w:t>
            </w:r>
            <w:r>
              <w:rPr>
                <w:rFonts w:hint="eastAsia" w:asciiTheme="minorEastAsia" w:hAnsiTheme="minorEastAsia" w:cstheme="minorEastAsia"/>
                <w:b w:val="0"/>
                <w:bCs w:val="0"/>
                <w:sz w:val="21"/>
                <w:szCs w:val="21"/>
                <w:highlight w:val="none"/>
                <w:lang w:val="en-US" w:eastAsia="zh-CN"/>
              </w:rPr>
              <w:t>1</w:t>
            </w:r>
            <w:r>
              <w:rPr>
                <w:rFonts w:hint="default" w:asciiTheme="minorEastAsia" w:hAnsiTheme="minorEastAsia" w:eastAsiaTheme="minorEastAsia" w:cstheme="minorEastAsia"/>
                <w:b w:val="0"/>
                <w:bCs w:val="0"/>
                <w:sz w:val="21"/>
                <w:szCs w:val="21"/>
                <w:highlight w:val="none"/>
                <w:lang w:val="en-US" w:eastAsia="zh-CN"/>
              </w:rPr>
              <w:t>分</w:t>
            </w:r>
            <w:r>
              <w:rPr>
                <w:rFonts w:hint="eastAsia" w:asciiTheme="minorEastAsia" w:hAnsiTheme="minorEastAsia" w:cstheme="minorEastAsia"/>
                <w:b w:val="0"/>
                <w:bCs w:val="0"/>
                <w:sz w:val="21"/>
                <w:szCs w:val="21"/>
                <w:highlight w:val="none"/>
                <w:lang w:val="en-US" w:eastAsia="zh-CN"/>
              </w:rPr>
              <w:t>。</w:t>
            </w:r>
          </w:p>
        </w:tc>
        <w:tc>
          <w:tcPr>
            <w:tcW w:w="584" w:type="dxa"/>
            <w:gridSpan w:val="2"/>
            <w:tcBorders>
              <w:tl2br w:val="nil"/>
              <w:tr2bl w:val="nil"/>
            </w:tcBorders>
            <w:noWrap w:val="0"/>
            <w:vAlign w:val="center"/>
          </w:tcPr>
          <w:p w14:paraId="54B4548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0BD44A6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627" w:type="dxa"/>
            <w:vMerge w:val="continue"/>
            <w:tcBorders>
              <w:tl2br w:val="nil"/>
              <w:tr2bl w:val="nil"/>
            </w:tcBorders>
            <w:noWrap w:val="0"/>
            <w:vAlign w:val="center"/>
          </w:tcPr>
          <w:p w14:paraId="4BD6AD24">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009E96B4">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55C534F0">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3.带点维修时，必须两人以上进行，一人监护，一人操作，防止触电、短路等事故的发生，严禁一人独立带电操作。</w:t>
            </w:r>
          </w:p>
        </w:tc>
        <w:tc>
          <w:tcPr>
            <w:tcW w:w="576" w:type="dxa"/>
            <w:tcBorders>
              <w:tl2br w:val="nil"/>
              <w:tr2bl w:val="nil"/>
            </w:tcBorders>
            <w:noWrap w:val="0"/>
            <w:vAlign w:val="center"/>
          </w:tcPr>
          <w:p w14:paraId="31CA964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continue"/>
            <w:tcBorders>
              <w:tl2br w:val="nil"/>
              <w:tr2bl w:val="nil"/>
            </w:tcBorders>
            <w:noWrap w:val="0"/>
            <w:vAlign w:val="center"/>
          </w:tcPr>
          <w:p w14:paraId="7968F534">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7D3991EE">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2B68E837">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627" w:type="dxa"/>
            <w:vMerge w:val="continue"/>
            <w:tcBorders>
              <w:tl2br w:val="nil"/>
              <w:tr2bl w:val="nil"/>
            </w:tcBorders>
            <w:noWrap w:val="0"/>
            <w:vAlign w:val="center"/>
          </w:tcPr>
          <w:p w14:paraId="277CC4E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240B44FC">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7497BDD5">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4.严禁带电挂拆地线，严禁带负荷拉合隔离开关。</w:t>
            </w:r>
          </w:p>
        </w:tc>
        <w:tc>
          <w:tcPr>
            <w:tcW w:w="576" w:type="dxa"/>
            <w:tcBorders>
              <w:tl2br w:val="nil"/>
              <w:tr2bl w:val="nil"/>
            </w:tcBorders>
            <w:noWrap w:val="0"/>
            <w:vAlign w:val="center"/>
          </w:tcPr>
          <w:p w14:paraId="00C2D44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continue"/>
            <w:tcBorders>
              <w:tl2br w:val="nil"/>
              <w:tr2bl w:val="nil"/>
            </w:tcBorders>
            <w:noWrap w:val="0"/>
            <w:vAlign w:val="center"/>
          </w:tcPr>
          <w:p w14:paraId="0AB83AD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5ED6154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45FD54B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0" w:hRule="atLeast"/>
        </w:trPr>
        <w:tc>
          <w:tcPr>
            <w:tcW w:w="627" w:type="dxa"/>
            <w:vMerge w:val="continue"/>
            <w:tcBorders>
              <w:tl2br w:val="nil"/>
              <w:tr2bl w:val="nil"/>
            </w:tcBorders>
            <w:noWrap w:val="0"/>
            <w:vAlign w:val="center"/>
          </w:tcPr>
          <w:p w14:paraId="059E769E">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248A247E">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7B65D6C5">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5</w:t>
            </w:r>
            <w:r>
              <w:rPr>
                <w:rFonts w:hint="eastAsia" w:asciiTheme="minorEastAsia" w:hAnsiTheme="minorEastAsia" w:cstheme="minorEastAsia"/>
                <w:b w:val="0"/>
                <w:bCs w:val="0"/>
                <w:i w:val="0"/>
                <w:iCs w:val="0"/>
                <w:color w:val="000000"/>
                <w:kern w:val="0"/>
                <w:sz w:val="24"/>
                <w:szCs w:val="24"/>
                <w:highlight w:val="none"/>
                <w:u w:val="none"/>
                <w:lang w:val="en-US" w:eastAsia="zh-CN" w:bidi="ar"/>
              </w:rPr>
              <w:t>.设备停电检修时，严格执行安全技术措施，停电、验电时须悬挂临时接电线，设临时遮拦，悬挂标示牌。</w:t>
            </w:r>
          </w:p>
        </w:tc>
        <w:tc>
          <w:tcPr>
            <w:tcW w:w="576" w:type="dxa"/>
            <w:tcBorders>
              <w:tl2br w:val="nil"/>
              <w:tr2bl w:val="nil"/>
            </w:tcBorders>
            <w:noWrap w:val="0"/>
            <w:vAlign w:val="center"/>
          </w:tcPr>
          <w:p w14:paraId="1FE9ECC1">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continue"/>
            <w:tcBorders>
              <w:tl2br w:val="nil"/>
              <w:tr2bl w:val="nil"/>
            </w:tcBorders>
            <w:noWrap w:val="0"/>
            <w:vAlign w:val="center"/>
          </w:tcPr>
          <w:p w14:paraId="1C8CB77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4013D3A5">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286E1928">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4" w:hRule="atLeast"/>
        </w:trPr>
        <w:tc>
          <w:tcPr>
            <w:tcW w:w="627" w:type="dxa"/>
            <w:vMerge w:val="continue"/>
            <w:tcBorders>
              <w:tl2br w:val="nil"/>
              <w:tr2bl w:val="nil"/>
            </w:tcBorders>
            <w:noWrap w:val="0"/>
            <w:vAlign w:val="center"/>
          </w:tcPr>
          <w:p w14:paraId="66F3E9BC">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47696A0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0718772E">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6、</w:t>
            </w:r>
            <w:r>
              <w:rPr>
                <w:rFonts w:hint="eastAsia" w:ascii="宋体" w:hAnsi="宋体" w:eastAsia="宋体" w:cs="宋体"/>
                <w:spacing w:val="-1"/>
                <w:sz w:val="24"/>
                <w:szCs w:val="24"/>
              </w:rPr>
              <w:t>房屋内外给排水系统的供水管路、排水管等设备设施的日常养护及维修</w:t>
            </w:r>
          </w:p>
        </w:tc>
        <w:tc>
          <w:tcPr>
            <w:tcW w:w="576" w:type="dxa"/>
            <w:tcBorders>
              <w:tl2br w:val="nil"/>
              <w:tr2bl w:val="nil"/>
            </w:tcBorders>
            <w:noWrap w:val="0"/>
            <w:vAlign w:val="center"/>
          </w:tcPr>
          <w:p w14:paraId="67089121">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default"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w:t>
            </w:r>
          </w:p>
        </w:tc>
        <w:tc>
          <w:tcPr>
            <w:tcW w:w="860" w:type="dxa"/>
            <w:vMerge w:val="continue"/>
            <w:tcBorders>
              <w:tl2br w:val="nil"/>
              <w:tr2bl w:val="nil"/>
            </w:tcBorders>
            <w:noWrap w:val="0"/>
            <w:vAlign w:val="center"/>
          </w:tcPr>
          <w:p w14:paraId="306BD39F">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12E4568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71A3F842">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4" w:hRule="atLeast"/>
        </w:trPr>
        <w:tc>
          <w:tcPr>
            <w:tcW w:w="627" w:type="dxa"/>
            <w:vMerge w:val="continue"/>
            <w:tcBorders>
              <w:tl2br w:val="nil"/>
              <w:tr2bl w:val="nil"/>
            </w:tcBorders>
            <w:noWrap w:val="0"/>
            <w:vAlign w:val="center"/>
          </w:tcPr>
          <w:p w14:paraId="553A8442">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sz w:val="24"/>
                <w:szCs w:val="24"/>
              </w:rPr>
            </w:pPr>
          </w:p>
        </w:tc>
        <w:tc>
          <w:tcPr>
            <w:tcW w:w="823" w:type="dxa"/>
            <w:vMerge w:val="continue"/>
            <w:tcBorders>
              <w:tl2br w:val="nil"/>
              <w:tr2bl w:val="nil"/>
            </w:tcBorders>
            <w:noWrap w:val="0"/>
            <w:vAlign w:val="center"/>
          </w:tcPr>
          <w:p w14:paraId="355D4167">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sz w:val="24"/>
                <w:szCs w:val="24"/>
              </w:rPr>
            </w:pPr>
          </w:p>
        </w:tc>
        <w:tc>
          <w:tcPr>
            <w:tcW w:w="6272" w:type="dxa"/>
            <w:gridSpan w:val="2"/>
            <w:tcBorders>
              <w:tl2br w:val="nil"/>
              <w:tr2bl w:val="nil"/>
            </w:tcBorders>
            <w:noWrap w:val="0"/>
            <w:vAlign w:val="center"/>
          </w:tcPr>
          <w:p w14:paraId="7FF09824">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7.电气设备所有金属外壳要有可靠接地装置。</w:t>
            </w:r>
          </w:p>
        </w:tc>
        <w:tc>
          <w:tcPr>
            <w:tcW w:w="576" w:type="dxa"/>
            <w:tcBorders>
              <w:tl2br w:val="nil"/>
              <w:tr2bl w:val="nil"/>
            </w:tcBorders>
            <w:noWrap w:val="0"/>
            <w:vAlign w:val="center"/>
          </w:tcPr>
          <w:p w14:paraId="5A4BEAF1">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continue"/>
            <w:tcBorders>
              <w:tl2br w:val="nil"/>
              <w:tr2bl w:val="nil"/>
            </w:tcBorders>
            <w:noWrap w:val="0"/>
            <w:vAlign w:val="center"/>
          </w:tcPr>
          <w:p w14:paraId="37A27C4F">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6A02ADC7">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22011C5F">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4" w:hRule="atLeast"/>
        </w:trPr>
        <w:tc>
          <w:tcPr>
            <w:tcW w:w="627" w:type="dxa"/>
            <w:vMerge w:val="continue"/>
            <w:tcBorders>
              <w:tl2br w:val="nil"/>
              <w:tr2bl w:val="nil"/>
            </w:tcBorders>
            <w:noWrap w:val="0"/>
            <w:vAlign w:val="center"/>
          </w:tcPr>
          <w:p w14:paraId="0CF36697">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03387598">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68709FE1">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8.高空作业时戴好安全帽，系好安全带，严禁在工作中上下抛掷工具材料和物品。确需上下传递，用吊绳和吊袋传送。高空工作的下方2米范围内不得堆放物品或易碎物品。</w:t>
            </w:r>
          </w:p>
        </w:tc>
        <w:tc>
          <w:tcPr>
            <w:tcW w:w="576" w:type="dxa"/>
            <w:tcBorders>
              <w:tl2br w:val="nil"/>
              <w:tr2bl w:val="nil"/>
            </w:tcBorders>
            <w:noWrap w:val="0"/>
            <w:vAlign w:val="center"/>
          </w:tcPr>
          <w:p w14:paraId="171F3658">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continue"/>
            <w:tcBorders>
              <w:tl2br w:val="nil"/>
              <w:tr2bl w:val="nil"/>
            </w:tcBorders>
            <w:noWrap w:val="0"/>
            <w:vAlign w:val="center"/>
          </w:tcPr>
          <w:p w14:paraId="2A79E2D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6363CE8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4B40BE70">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 w:hRule="atLeast"/>
        </w:trPr>
        <w:tc>
          <w:tcPr>
            <w:tcW w:w="627" w:type="dxa"/>
            <w:vMerge w:val="continue"/>
            <w:tcBorders>
              <w:tl2br w:val="nil"/>
              <w:tr2bl w:val="nil"/>
            </w:tcBorders>
            <w:noWrap w:val="0"/>
            <w:vAlign w:val="center"/>
          </w:tcPr>
          <w:p w14:paraId="6DF3A20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6873D334">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58F2F334">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9</w:t>
            </w:r>
            <w:r>
              <w:rPr>
                <w:rFonts w:hint="eastAsia" w:eastAsia="宋体" w:asciiTheme="minorEastAsia" w:hAnsiTheme="minorEastAsia" w:cstheme="minorEastAsia"/>
                <w:b w:val="0"/>
                <w:bCs w:val="0"/>
                <w:i w:val="0"/>
                <w:iCs w:val="0"/>
                <w:color w:val="000000"/>
                <w:kern w:val="0"/>
                <w:sz w:val="24"/>
                <w:szCs w:val="24"/>
                <w:u w:val="none"/>
                <w:lang w:val="en-US" w:eastAsia="zh-CN" w:bidi="ar"/>
              </w:rPr>
              <w:t>.</w:t>
            </w:r>
            <w:r>
              <w:rPr>
                <w:rFonts w:hint="eastAsia" w:ascii="宋体" w:hAnsi="宋体" w:eastAsia="宋体" w:cs="宋体"/>
                <w:spacing w:val="-1"/>
                <w:sz w:val="24"/>
                <w:szCs w:val="24"/>
              </w:rPr>
              <w:t>及时完成零修、小修，并做好检修维护记录</w:t>
            </w:r>
          </w:p>
        </w:tc>
        <w:tc>
          <w:tcPr>
            <w:tcW w:w="576" w:type="dxa"/>
            <w:tcBorders>
              <w:tl2br w:val="nil"/>
              <w:tr2bl w:val="nil"/>
            </w:tcBorders>
            <w:noWrap w:val="0"/>
            <w:vAlign w:val="center"/>
          </w:tcPr>
          <w:p w14:paraId="3182F5AC">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continue"/>
            <w:tcBorders>
              <w:tl2br w:val="nil"/>
              <w:tr2bl w:val="nil"/>
            </w:tcBorders>
            <w:noWrap w:val="0"/>
            <w:vAlign w:val="center"/>
          </w:tcPr>
          <w:p w14:paraId="65A5FFA8">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5D914CA6">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3F31C1DA">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 w:hRule="atLeast"/>
        </w:trPr>
        <w:tc>
          <w:tcPr>
            <w:tcW w:w="627" w:type="dxa"/>
            <w:vMerge w:val="continue"/>
            <w:tcBorders>
              <w:tl2br w:val="nil"/>
              <w:tr2bl w:val="nil"/>
            </w:tcBorders>
            <w:noWrap w:val="0"/>
            <w:vAlign w:val="center"/>
          </w:tcPr>
          <w:p w14:paraId="220524E2">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sz w:val="24"/>
                <w:szCs w:val="24"/>
              </w:rPr>
            </w:pPr>
          </w:p>
        </w:tc>
        <w:tc>
          <w:tcPr>
            <w:tcW w:w="823" w:type="dxa"/>
            <w:vMerge w:val="continue"/>
            <w:tcBorders>
              <w:tl2br w:val="nil"/>
              <w:tr2bl w:val="nil"/>
            </w:tcBorders>
            <w:noWrap w:val="0"/>
            <w:vAlign w:val="center"/>
          </w:tcPr>
          <w:p w14:paraId="2A85DF2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sz w:val="24"/>
                <w:szCs w:val="24"/>
              </w:rPr>
            </w:pPr>
          </w:p>
        </w:tc>
        <w:tc>
          <w:tcPr>
            <w:tcW w:w="6272" w:type="dxa"/>
            <w:gridSpan w:val="2"/>
            <w:tcBorders>
              <w:tl2br w:val="nil"/>
              <w:tr2bl w:val="nil"/>
            </w:tcBorders>
            <w:noWrap w:val="0"/>
            <w:vAlign w:val="center"/>
          </w:tcPr>
          <w:p w14:paraId="740CD83F">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10.根据维修、改造实际情况，每半年修改一次存档的电子版/纸板图纸资料，使存档资料与现场状态保持一致。</w:t>
            </w:r>
          </w:p>
        </w:tc>
        <w:tc>
          <w:tcPr>
            <w:tcW w:w="576" w:type="dxa"/>
            <w:tcBorders>
              <w:tl2br w:val="nil"/>
              <w:tr2bl w:val="nil"/>
            </w:tcBorders>
            <w:noWrap w:val="0"/>
            <w:vAlign w:val="center"/>
          </w:tcPr>
          <w:p w14:paraId="7821A5D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continue"/>
            <w:tcBorders>
              <w:tl2br w:val="nil"/>
              <w:tr2bl w:val="nil"/>
            </w:tcBorders>
            <w:noWrap w:val="0"/>
            <w:vAlign w:val="center"/>
          </w:tcPr>
          <w:p w14:paraId="75FC10DF">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4675AE40">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6E9C57A4">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0" w:hRule="atLeast"/>
        </w:trPr>
        <w:tc>
          <w:tcPr>
            <w:tcW w:w="627" w:type="dxa"/>
            <w:vMerge w:val="restart"/>
            <w:tcBorders>
              <w:tl2br w:val="nil"/>
              <w:tr2bl w:val="nil"/>
            </w:tcBorders>
            <w:noWrap w:val="0"/>
            <w:vAlign w:val="center"/>
          </w:tcPr>
          <w:p w14:paraId="5677B68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二</w:t>
            </w:r>
          </w:p>
        </w:tc>
        <w:tc>
          <w:tcPr>
            <w:tcW w:w="823" w:type="dxa"/>
            <w:vMerge w:val="restart"/>
            <w:tcBorders>
              <w:tl2br w:val="nil"/>
              <w:tr2bl w:val="nil"/>
            </w:tcBorders>
            <w:noWrap w:val="0"/>
            <w:vAlign w:val="center"/>
          </w:tcPr>
          <w:p w14:paraId="7AC9FE30">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snapToGrid w:val="0"/>
                <w:color w:val="000000"/>
                <w:spacing w:val="9"/>
                <w:w w:val="100"/>
                <w:kern w:val="0"/>
                <w:sz w:val="24"/>
                <w:szCs w:val="24"/>
                <w:lang w:val="en-US" w:eastAsia="en-US" w:bidi="ar-SA"/>
              </w:rPr>
              <w:t>交接班制</w:t>
            </w:r>
          </w:p>
        </w:tc>
        <w:tc>
          <w:tcPr>
            <w:tcW w:w="6272" w:type="dxa"/>
            <w:gridSpan w:val="2"/>
            <w:tcBorders>
              <w:tl2br w:val="nil"/>
              <w:tr2bl w:val="nil"/>
            </w:tcBorders>
            <w:noWrap w:val="0"/>
            <w:vAlign w:val="center"/>
          </w:tcPr>
          <w:p w14:paraId="1C0F6ABE">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eastAsia="宋体" w:asciiTheme="minorEastAsia" w:hAnsiTheme="minorEastAsia" w:cstheme="minorEastAsia"/>
                <w:b w:val="0"/>
                <w:bCs w:val="0"/>
                <w:i w:val="0"/>
                <w:iCs w:val="0"/>
                <w:color w:val="000000"/>
                <w:kern w:val="0"/>
                <w:sz w:val="24"/>
                <w:szCs w:val="24"/>
                <w:u w:val="none"/>
                <w:lang w:val="en-US" w:eastAsia="zh-CN" w:bidi="ar"/>
              </w:rPr>
            </w:pPr>
            <w:r>
              <w:rPr>
                <w:rFonts w:hint="eastAsia" w:eastAsia="宋体" w:asciiTheme="minorEastAsia" w:hAnsiTheme="minorEastAsia" w:cstheme="minorEastAsia"/>
                <w:b w:val="0"/>
                <w:bCs w:val="0"/>
                <w:i w:val="0"/>
                <w:iCs w:val="0"/>
                <w:color w:val="000000"/>
                <w:kern w:val="0"/>
                <w:sz w:val="24"/>
                <w:szCs w:val="24"/>
                <w:u w:val="none"/>
                <w:lang w:val="en-US" w:eastAsia="en-US" w:bidi="ar"/>
              </w:rPr>
              <w:t>1</w:t>
            </w:r>
            <w:r>
              <w:rPr>
                <w:rFonts w:hint="eastAsia" w:eastAsia="宋体" w:asciiTheme="minorEastAsia" w:hAnsiTheme="minorEastAsia" w:cstheme="minorEastAsia"/>
                <w:b w:val="0"/>
                <w:bCs w:val="0"/>
                <w:i w:val="0"/>
                <w:iCs w:val="0"/>
                <w:color w:val="000000"/>
                <w:kern w:val="0"/>
                <w:sz w:val="24"/>
                <w:szCs w:val="24"/>
                <w:u w:val="none"/>
                <w:lang w:val="en-US" w:eastAsia="zh-CN" w:bidi="ar"/>
              </w:rPr>
              <w:t>.</w:t>
            </w:r>
            <w:r>
              <w:rPr>
                <w:rFonts w:hint="eastAsia" w:eastAsia="宋体" w:asciiTheme="minorEastAsia" w:hAnsiTheme="minorEastAsia" w:cstheme="minorEastAsia"/>
                <w:b w:val="0"/>
                <w:bCs w:val="0"/>
                <w:i w:val="0"/>
                <w:iCs w:val="0"/>
                <w:color w:val="000000"/>
                <w:kern w:val="0"/>
                <w:sz w:val="24"/>
                <w:szCs w:val="24"/>
                <w:u w:val="none"/>
                <w:lang w:val="en-US" w:eastAsia="en-US" w:bidi="ar"/>
              </w:rPr>
              <w:t>接班人员应提前10分钟到岗接班，双方认为交接情况清楚无问题后，交接班方可结束。</w:t>
            </w:r>
          </w:p>
        </w:tc>
        <w:tc>
          <w:tcPr>
            <w:tcW w:w="576" w:type="dxa"/>
            <w:tcBorders>
              <w:tl2br w:val="nil"/>
              <w:tr2bl w:val="nil"/>
            </w:tcBorders>
            <w:noWrap w:val="0"/>
            <w:vAlign w:val="center"/>
          </w:tcPr>
          <w:p w14:paraId="3F24CEA6">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6</w:t>
            </w:r>
          </w:p>
        </w:tc>
        <w:tc>
          <w:tcPr>
            <w:tcW w:w="860" w:type="dxa"/>
            <w:vMerge w:val="restart"/>
            <w:tcBorders>
              <w:tl2br w:val="nil"/>
              <w:tr2bl w:val="nil"/>
            </w:tcBorders>
            <w:noWrap w:val="0"/>
            <w:vAlign w:val="center"/>
          </w:tcPr>
          <w:p w14:paraId="0FA7FCA0">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r>
              <w:rPr>
                <w:rFonts w:hint="default" w:asciiTheme="minorEastAsia" w:hAnsiTheme="minorEastAsia" w:eastAsiaTheme="minorEastAsia" w:cstheme="minorEastAsia"/>
                <w:b w:val="0"/>
                <w:bCs w:val="0"/>
                <w:sz w:val="18"/>
                <w:szCs w:val="18"/>
                <w:highlight w:val="none"/>
                <w:lang w:val="en-US" w:eastAsia="zh-CN"/>
              </w:rPr>
              <w:t>未按规定执行，</w:t>
            </w:r>
            <w:r>
              <w:rPr>
                <w:rFonts w:hint="eastAsia" w:asciiTheme="minorEastAsia" w:hAnsiTheme="minorEastAsia" w:cstheme="minorEastAsia"/>
                <w:b w:val="0"/>
                <w:bCs w:val="0"/>
                <w:sz w:val="18"/>
                <w:szCs w:val="18"/>
                <w:highlight w:val="none"/>
                <w:lang w:val="en-US" w:eastAsia="zh-CN"/>
              </w:rPr>
              <w:t>每</w:t>
            </w:r>
            <w:r>
              <w:rPr>
                <w:rFonts w:hint="default" w:asciiTheme="minorEastAsia" w:hAnsiTheme="minorEastAsia" w:eastAsiaTheme="minorEastAsia" w:cstheme="minorEastAsia"/>
                <w:b w:val="0"/>
                <w:bCs w:val="0"/>
                <w:sz w:val="18"/>
                <w:szCs w:val="18"/>
                <w:highlight w:val="none"/>
                <w:lang w:val="en-US" w:eastAsia="zh-CN"/>
              </w:rPr>
              <w:t>发现一次扣</w:t>
            </w:r>
            <w:r>
              <w:rPr>
                <w:rFonts w:hint="eastAsia" w:asciiTheme="minorEastAsia" w:hAnsiTheme="minorEastAsia" w:cstheme="minorEastAsia"/>
                <w:b w:val="0"/>
                <w:bCs w:val="0"/>
                <w:sz w:val="18"/>
                <w:szCs w:val="18"/>
                <w:highlight w:val="none"/>
                <w:lang w:val="en-US" w:eastAsia="zh-CN"/>
              </w:rPr>
              <w:t>0.5</w:t>
            </w:r>
            <w:r>
              <w:rPr>
                <w:rFonts w:hint="default" w:asciiTheme="minorEastAsia" w:hAnsiTheme="minorEastAsia" w:eastAsiaTheme="minorEastAsia" w:cstheme="minorEastAsia"/>
                <w:b w:val="0"/>
                <w:bCs w:val="0"/>
                <w:sz w:val="18"/>
                <w:szCs w:val="18"/>
                <w:highlight w:val="none"/>
                <w:lang w:val="en-US" w:eastAsia="zh-CN"/>
              </w:rPr>
              <w:t>分</w:t>
            </w:r>
            <w:r>
              <w:rPr>
                <w:rFonts w:hint="eastAsia" w:asciiTheme="minorEastAsia" w:hAnsiTheme="minorEastAsia" w:cstheme="minorEastAsia"/>
                <w:b w:val="0"/>
                <w:bCs w:val="0"/>
                <w:sz w:val="18"/>
                <w:szCs w:val="18"/>
                <w:highlight w:val="none"/>
                <w:lang w:val="en-US" w:eastAsia="zh-CN"/>
              </w:rPr>
              <w:t>。</w:t>
            </w:r>
          </w:p>
        </w:tc>
        <w:tc>
          <w:tcPr>
            <w:tcW w:w="584" w:type="dxa"/>
            <w:gridSpan w:val="2"/>
            <w:tcBorders>
              <w:tl2br w:val="nil"/>
              <w:tr2bl w:val="nil"/>
            </w:tcBorders>
            <w:noWrap w:val="0"/>
            <w:vAlign w:val="center"/>
          </w:tcPr>
          <w:p w14:paraId="140332C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109B72EE">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0" w:hRule="atLeast"/>
        </w:trPr>
        <w:tc>
          <w:tcPr>
            <w:tcW w:w="627" w:type="dxa"/>
            <w:vMerge w:val="continue"/>
            <w:tcBorders>
              <w:tl2br w:val="nil"/>
              <w:tr2bl w:val="nil"/>
            </w:tcBorders>
            <w:noWrap w:val="0"/>
            <w:vAlign w:val="center"/>
          </w:tcPr>
          <w:p w14:paraId="13758F45">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5661D8D3">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0ABBCA38">
            <w:pPr>
              <w:pStyle w:val="6"/>
              <w:keepNext w:val="0"/>
              <w:keepLines w:val="0"/>
              <w:pageBreakBefore w:val="0"/>
              <w:widowControl w:val="0"/>
              <w:suppressLineNumbers w:val="0"/>
              <w:kinsoku/>
              <w:wordWrap/>
              <w:overflowPunct/>
              <w:topLinePunct w:val="0"/>
              <w:autoSpaceDE/>
              <w:autoSpaceDN/>
              <w:bidi w:val="0"/>
              <w:adjustRightInd w:val="0"/>
              <w:snapToGrid w:val="0"/>
              <w:spacing w:line="520" w:lineRule="exact"/>
              <w:ind w:left="0" w:leftChars="0" w:firstLine="0" w:firstLineChars="0"/>
              <w:jc w:val="both"/>
              <w:textAlignment w:val="baseline"/>
              <w:outlineLvl w:val="9"/>
              <w:rPr>
                <w:rFonts w:hint="default" w:ascii="宋体" w:hAnsi="宋体" w:eastAsia="宋体" w:cs="宋体"/>
                <w:b w:val="0"/>
                <w:bCs w:val="0"/>
                <w:sz w:val="24"/>
                <w:szCs w:val="24"/>
                <w:highlight w:val="none"/>
                <w:lang w:val="en-US" w:eastAsia="zh-CN"/>
              </w:rPr>
            </w:pPr>
            <w:r>
              <w:rPr>
                <w:rFonts w:hint="eastAsia" w:cs="宋体"/>
                <w:b w:val="0"/>
                <w:bCs w:val="0"/>
                <w:sz w:val="24"/>
                <w:szCs w:val="24"/>
                <w:highlight w:val="none"/>
                <w:lang w:val="en-US" w:eastAsia="zh-CN"/>
              </w:rPr>
              <w:t>2</w:t>
            </w:r>
            <w:r>
              <w:rPr>
                <w:rFonts w:hint="eastAsia" w:eastAsia="宋体" w:asciiTheme="minorEastAsia" w:hAnsiTheme="minorEastAsia" w:cstheme="minorEastAsia"/>
                <w:b w:val="0"/>
                <w:bCs w:val="0"/>
                <w:i w:val="0"/>
                <w:iCs w:val="0"/>
                <w:color w:val="000000"/>
                <w:kern w:val="0"/>
                <w:sz w:val="24"/>
                <w:szCs w:val="24"/>
                <w:u w:val="none"/>
                <w:lang w:val="en-US" w:eastAsia="zh-CN" w:bidi="ar"/>
              </w:rPr>
              <w:t>.</w:t>
            </w:r>
            <w:r>
              <w:rPr>
                <w:rFonts w:hint="eastAsia" w:ascii="宋体" w:hAnsi="宋体" w:eastAsia="宋体" w:cs="宋体"/>
                <w:spacing w:val="-1"/>
                <w:sz w:val="24"/>
                <w:szCs w:val="24"/>
              </w:rPr>
              <w:t>确保设备、阀门、管道正常，无跑冒滴漏现象</w:t>
            </w:r>
          </w:p>
        </w:tc>
        <w:tc>
          <w:tcPr>
            <w:tcW w:w="576" w:type="dxa"/>
            <w:tcBorders>
              <w:tl2br w:val="nil"/>
              <w:tr2bl w:val="nil"/>
            </w:tcBorders>
            <w:noWrap w:val="0"/>
            <w:vAlign w:val="center"/>
          </w:tcPr>
          <w:p w14:paraId="777031DA">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5</w:t>
            </w:r>
          </w:p>
        </w:tc>
        <w:tc>
          <w:tcPr>
            <w:tcW w:w="860" w:type="dxa"/>
            <w:vMerge w:val="continue"/>
            <w:tcBorders>
              <w:tl2br w:val="nil"/>
              <w:tr2bl w:val="nil"/>
            </w:tcBorders>
            <w:noWrap w:val="0"/>
            <w:vAlign w:val="center"/>
          </w:tcPr>
          <w:p w14:paraId="2551F6CB">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56A1D6AF">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4F97C2A3">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80" w:hRule="atLeast"/>
        </w:trPr>
        <w:tc>
          <w:tcPr>
            <w:tcW w:w="627" w:type="dxa"/>
            <w:vMerge w:val="continue"/>
            <w:tcBorders>
              <w:tl2br w:val="nil"/>
              <w:tr2bl w:val="nil"/>
            </w:tcBorders>
            <w:noWrap w:val="0"/>
            <w:vAlign w:val="center"/>
          </w:tcPr>
          <w:p w14:paraId="43824128">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p>
        </w:tc>
        <w:tc>
          <w:tcPr>
            <w:tcW w:w="823" w:type="dxa"/>
            <w:vMerge w:val="continue"/>
            <w:tcBorders>
              <w:tl2br w:val="nil"/>
              <w:tr2bl w:val="nil"/>
            </w:tcBorders>
            <w:noWrap w:val="0"/>
            <w:vAlign w:val="center"/>
          </w:tcPr>
          <w:p w14:paraId="760187A7">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6272" w:type="dxa"/>
            <w:gridSpan w:val="2"/>
            <w:tcBorders>
              <w:tl2br w:val="nil"/>
              <w:tr2bl w:val="nil"/>
            </w:tcBorders>
            <w:noWrap w:val="0"/>
            <w:vAlign w:val="center"/>
          </w:tcPr>
          <w:p w14:paraId="5D6A6656">
            <w:pPr>
              <w:pStyle w:val="6"/>
              <w:keepNext w:val="0"/>
              <w:keepLines w:val="0"/>
              <w:pageBreakBefore w:val="0"/>
              <w:widowControl w:val="0"/>
              <w:suppressLineNumbers w:val="0"/>
              <w:kinsoku/>
              <w:wordWrap/>
              <w:overflowPunct/>
              <w:topLinePunct w:val="0"/>
              <w:autoSpaceDE/>
              <w:autoSpaceDN/>
              <w:bidi w:val="0"/>
              <w:adjustRightInd w:val="0"/>
              <w:snapToGrid w:val="0"/>
              <w:spacing w:line="520" w:lineRule="exact"/>
              <w:ind w:left="0" w:leftChars="0" w:firstLine="0" w:firstLineChars="0"/>
              <w:jc w:val="both"/>
              <w:textAlignment w:val="baseline"/>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snapToGrid w:val="0"/>
                <w:color w:val="000000"/>
                <w:spacing w:val="9"/>
                <w:w w:val="100"/>
                <w:kern w:val="0"/>
                <w:sz w:val="24"/>
                <w:szCs w:val="24"/>
                <w:lang w:val="en-US" w:eastAsia="en-US" w:bidi="ar-SA"/>
              </w:rPr>
              <w:t>3</w:t>
            </w:r>
            <w:r>
              <w:rPr>
                <w:rFonts w:hint="eastAsia" w:asciiTheme="minorEastAsia" w:hAnsiTheme="minorEastAsia" w:eastAsiaTheme="minorEastAsia" w:cstheme="minorEastAsia"/>
                <w:snapToGrid w:val="0"/>
                <w:color w:val="000000"/>
                <w:spacing w:val="9"/>
                <w:w w:val="100"/>
                <w:kern w:val="0"/>
                <w:sz w:val="24"/>
                <w:szCs w:val="24"/>
                <w:lang w:val="en-US" w:eastAsia="zh-CN" w:bidi="ar-SA"/>
              </w:rPr>
              <w:t>.</w:t>
            </w:r>
            <w:r>
              <w:rPr>
                <w:rFonts w:hint="eastAsia" w:asciiTheme="minorEastAsia" w:hAnsiTheme="minorEastAsia" w:eastAsiaTheme="minorEastAsia" w:cstheme="minorEastAsia"/>
                <w:snapToGrid w:val="0"/>
                <w:color w:val="000000"/>
                <w:spacing w:val="9"/>
                <w:w w:val="100"/>
                <w:kern w:val="0"/>
                <w:sz w:val="24"/>
                <w:szCs w:val="24"/>
                <w:lang w:val="en-US" w:eastAsia="en-US" w:bidi="ar-SA"/>
              </w:rPr>
              <w:t>认真填写好运行日志和本班工作小结，将交接班事项填写清楚，做到交接两清</w:t>
            </w:r>
          </w:p>
        </w:tc>
        <w:tc>
          <w:tcPr>
            <w:tcW w:w="576" w:type="dxa"/>
            <w:tcBorders>
              <w:tl2br w:val="nil"/>
              <w:tr2bl w:val="nil"/>
            </w:tcBorders>
            <w:noWrap w:val="0"/>
            <w:vAlign w:val="center"/>
          </w:tcPr>
          <w:p w14:paraId="7DB4BEDD">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center"/>
              <w:textAlignment w:val="center"/>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cstheme="minorEastAsia"/>
                <w:b w:val="0"/>
                <w:bCs w:val="0"/>
                <w:i w:val="0"/>
                <w:iCs w:val="0"/>
                <w:color w:val="000000"/>
                <w:kern w:val="0"/>
                <w:sz w:val="24"/>
                <w:szCs w:val="24"/>
                <w:u w:val="none"/>
                <w:lang w:val="en-US" w:eastAsia="zh-CN" w:bidi="ar"/>
              </w:rPr>
              <w:t>5</w:t>
            </w:r>
          </w:p>
        </w:tc>
        <w:tc>
          <w:tcPr>
            <w:tcW w:w="860" w:type="dxa"/>
            <w:vMerge w:val="continue"/>
            <w:tcBorders>
              <w:tl2br w:val="nil"/>
              <w:tr2bl w:val="nil"/>
            </w:tcBorders>
            <w:noWrap w:val="0"/>
            <w:vAlign w:val="center"/>
          </w:tcPr>
          <w:p w14:paraId="4BA5E719">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c>
          <w:tcPr>
            <w:tcW w:w="584" w:type="dxa"/>
            <w:gridSpan w:val="2"/>
            <w:tcBorders>
              <w:tl2br w:val="nil"/>
              <w:tr2bl w:val="nil"/>
            </w:tcBorders>
            <w:noWrap w:val="0"/>
            <w:vAlign w:val="center"/>
          </w:tcPr>
          <w:p w14:paraId="53552A31">
            <w:pPr>
              <w:keepNext w:val="0"/>
              <w:keepLines w:val="0"/>
              <w:pageBreakBefore w:val="0"/>
              <w:widowControl w:val="0"/>
              <w:suppressLineNumbers w:val="0"/>
              <w:kinsoku/>
              <w:wordWrap/>
              <w:overflowPunct/>
              <w:topLinePunct w:val="0"/>
              <w:autoSpaceDE/>
              <w:autoSpaceDN/>
              <w:bidi w:val="0"/>
              <w:adjustRightInd w:val="0"/>
              <w:snapToGrid w:val="0"/>
              <w:spacing w:line="520" w:lineRule="exact"/>
              <w:jc w:val="left"/>
              <w:textAlignment w:val="center"/>
              <w:outlineLvl w:val="9"/>
              <w:rPr>
                <w:rFonts w:hint="eastAsia" w:ascii="宋体" w:hAnsi="宋体" w:eastAsia="宋体" w:cs="宋体"/>
                <w:b w:val="0"/>
                <w:bCs w:val="0"/>
                <w:sz w:val="24"/>
                <w:szCs w:val="24"/>
                <w:highlight w:val="none"/>
                <w:lang w:val="en-US" w:eastAsia="zh-CN"/>
              </w:rPr>
            </w:pPr>
          </w:p>
        </w:tc>
      </w:tr>
      <w:tr w14:paraId="767F0816">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7722" w:type="dxa"/>
            <w:gridSpan w:val="4"/>
            <w:tcBorders>
              <w:tl2br w:val="nil"/>
              <w:tr2bl w:val="nil"/>
            </w:tcBorders>
            <w:noWrap w:val="0"/>
            <w:vAlign w:val="center"/>
          </w:tcPr>
          <w:p w14:paraId="6E52FC51">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jc w:val="center"/>
              <w:textAlignment w:val="auto"/>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合   计</w:t>
            </w:r>
          </w:p>
        </w:tc>
        <w:tc>
          <w:tcPr>
            <w:tcW w:w="576" w:type="dxa"/>
            <w:tcBorders>
              <w:tl2br w:val="nil"/>
              <w:tr2bl w:val="nil"/>
            </w:tcBorders>
            <w:noWrap w:val="0"/>
            <w:vAlign w:val="center"/>
          </w:tcPr>
          <w:p w14:paraId="7E79C6E6">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jc w:val="center"/>
              <w:textAlignment w:val="auto"/>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100</w:t>
            </w:r>
          </w:p>
        </w:tc>
        <w:tc>
          <w:tcPr>
            <w:tcW w:w="1444" w:type="dxa"/>
            <w:gridSpan w:val="3"/>
            <w:tcBorders>
              <w:tl2br w:val="nil"/>
              <w:tr2bl w:val="nil"/>
            </w:tcBorders>
            <w:noWrap w:val="0"/>
            <w:vAlign w:val="center"/>
          </w:tcPr>
          <w:p w14:paraId="00ECE541">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jc w:val="left"/>
              <w:textAlignment w:val="auto"/>
              <w:outlineLvl w:val="9"/>
              <w:rPr>
                <w:rFonts w:hint="eastAsia" w:ascii="宋体" w:hAnsi="宋体" w:eastAsia="宋体" w:cs="宋体"/>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扣分：</w:t>
            </w:r>
          </w:p>
        </w:tc>
      </w:tr>
      <w:tr w14:paraId="12BB8B4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10" w:type="dxa"/>
          <w:trHeight w:val="3032" w:hRule="atLeast"/>
        </w:trPr>
        <w:tc>
          <w:tcPr>
            <w:tcW w:w="9732" w:type="dxa"/>
            <w:gridSpan w:val="7"/>
            <w:tcBorders>
              <w:top w:val="single" w:color="auto" w:sz="8" w:space="0"/>
              <w:left w:val="single" w:color="auto" w:sz="8" w:space="0"/>
              <w:bottom w:val="single" w:color="auto" w:sz="8" w:space="0"/>
              <w:right w:val="single" w:color="auto" w:sz="8" w:space="0"/>
            </w:tcBorders>
            <w:noWrap w:val="0"/>
            <w:vAlign w:val="top"/>
          </w:tcPr>
          <w:p w14:paraId="08251051">
            <w:pPr>
              <w:keepNext w:val="0"/>
              <w:keepLines w:val="0"/>
              <w:pageBreakBefore w:val="0"/>
              <w:widowControl w:val="0"/>
              <w:kinsoku/>
              <w:wordWrap/>
              <w:overflowPunct/>
              <w:topLinePunct w:val="0"/>
              <w:autoSpaceDE/>
              <w:autoSpaceDN/>
              <w:bidi w:val="0"/>
              <w:adjustRightInd w:val="0"/>
              <w:snapToGrid w:val="0"/>
              <w:spacing w:line="540" w:lineRule="exact"/>
              <w:ind w:firstLine="420" w:firstLineChars="200"/>
              <w:jc w:val="both"/>
              <w:textAlignment w:val="auto"/>
              <w:outlineLvl w:val="9"/>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1"/>
                <w:szCs w:val="21"/>
                <w:highlight w:val="none"/>
                <w:lang w:eastAsia="zh-CN"/>
              </w:rPr>
              <w:t>乙方</w:t>
            </w:r>
            <w:r>
              <w:rPr>
                <w:rFonts w:hint="eastAsia" w:ascii="宋体" w:hAnsi="宋体" w:eastAsia="宋体" w:cs="宋体"/>
                <w:b w:val="0"/>
                <w:bCs w:val="0"/>
                <w:sz w:val="21"/>
                <w:szCs w:val="21"/>
                <w:highlight w:val="none"/>
              </w:rPr>
              <w:t>确保现场工作人员严格遵守</w:t>
            </w:r>
            <w:r>
              <w:rPr>
                <w:rFonts w:hint="eastAsia" w:ascii="宋体" w:hAnsi="宋体" w:eastAsia="宋体" w:cs="宋体"/>
                <w:b w:val="0"/>
                <w:bCs w:val="0"/>
                <w:sz w:val="21"/>
                <w:szCs w:val="21"/>
                <w:highlight w:val="none"/>
                <w:lang w:eastAsia="zh-CN"/>
              </w:rPr>
              <w:t>甲方</w:t>
            </w:r>
            <w:r>
              <w:rPr>
                <w:rFonts w:hint="eastAsia" w:ascii="宋体" w:hAnsi="宋体" w:eastAsia="宋体" w:cs="宋体"/>
                <w:b w:val="0"/>
                <w:bCs w:val="0"/>
                <w:sz w:val="21"/>
                <w:szCs w:val="21"/>
                <w:highlight w:val="none"/>
              </w:rPr>
              <w:t>的相关纪律和制度，严禁无故脱岗，对日常服务等进行满意度测评打分，并建立台账。每</w:t>
            </w:r>
            <w:r>
              <w:rPr>
                <w:rFonts w:hint="eastAsia" w:ascii="宋体" w:hAnsi="宋体" w:eastAsia="宋体" w:cs="宋体"/>
                <w:b w:val="0"/>
                <w:bCs w:val="0"/>
                <w:sz w:val="21"/>
                <w:szCs w:val="21"/>
                <w:highlight w:val="none"/>
                <w:lang w:val="en-US" w:eastAsia="zh-CN"/>
              </w:rPr>
              <w:t>月</w:t>
            </w:r>
            <w:r>
              <w:rPr>
                <w:rFonts w:hint="eastAsia" w:ascii="宋体" w:hAnsi="宋体" w:eastAsia="宋体" w:cs="宋体"/>
                <w:b w:val="0"/>
                <w:bCs w:val="0"/>
                <w:sz w:val="21"/>
                <w:szCs w:val="21"/>
                <w:highlight w:val="none"/>
              </w:rPr>
              <w:t>为一个考核周期，</w:t>
            </w:r>
            <w:r>
              <w:rPr>
                <w:rFonts w:hint="eastAsia" w:ascii="宋体" w:hAnsi="宋体" w:eastAsia="宋体" w:cs="宋体"/>
                <w:b w:val="0"/>
                <w:bCs w:val="0"/>
                <w:sz w:val="21"/>
                <w:szCs w:val="21"/>
                <w:highlight w:val="none"/>
                <w:lang w:val="en-US" w:eastAsia="zh-CN"/>
              </w:rPr>
              <w:t>按</w:t>
            </w:r>
            <w:r>
              <w:rPr>
                <w:rFonts w:hint="eastAsia" w:ascii="宋体" w:hAnsi="宋体" w:cs="宋体"/>
                <w:b w:val="0"/>
                <w:bCs w:val="0"/>
                <w:sz w:val="21"/>
                <w:szCs w:val="21"/>
                <w:highlight w:val="none"/>
                <w:lang w:val="en-US" w:eastAsia="zh-CN"/>
              </w:rPr>
              <w:t>月</w:t>
            </w:r>
            <w:r>
              <w:rPr>
                <w:rFonts w:hint="eastAsia" w:ascii="宋体" w:hAnsi="宋体" w:eastAsia="宋体" w:cs="宋体"/>
                <w:b w:val="0"/>
                <w:bCs w:val="0"/>
                <w:sz w:val="21"/>
                <w:szCs w:val="21"/>
                <w:highlight w:val="none"/>
              </w:rPr>
              <w:t>结算</w:t>
            </w:r>
            <w:r>
              <w:rPr>
                <w:rFonts w:hint="eastAsia" w:ascii="宋体" w:hAnsi="宋体" w:cs="宋体"/>
                <w:b w:val="0"/>
                <w:bCs w:val="0"/>
                <w:sz w:val="21"/>
                <w:szCs w:val="21"/>
                <w:highlight w:val="none"/>
                <w:lang w:eastAsia="zh-CN"/>
              </w:rPr>
              <w:t>，</w:t>
            </w:r>
            <w:r>
              <w:rPr>
                <w:rFonts w:hint="eastAsia" w:ascii="宋体" w:hAnsi="宋体" w:cs="宋体"/>
                <w:b w:val="0"/>
                <w:bCs w:val="0"/>
                <w:sz w:val="21"/>
                <w:szCs w:val="21"/>
                <w:highlight w:val="none"/>
                <w:lang w:val="en-US" w:eastAsia="zh-CN"/>
              </w:rPr>
              <w:t>按年支付</w:t>
            </w:r>
            <w:r>
              <w:rPr>
                <w:rFonts w:hint="eastAsia" w:ascii="宋体" w:hAnsi="宋体" w:eastAsia="宋体" w:cs="宋体"/>
                <w:b w:val="0"/>
                <w:bCs w:val="0"/>
                <w:sz w:val="21"/>
                <w:szCs w:val="21"/>
                <w:highlight w:val="none"/>
              </w:rPr>
              <w:t>。考核得分在90-100分为优，全额支付</w:t>
            </w:r>
            <w:r>
              <w:rPr>
                <w:rFonts w:hint="eastAsia" w:ascii="宋体" w:hAnsi="宋体" w:cs="宋体"/>
                <w:b w:val="0"/>
                <w:bCs w:val="0"/>
                <w:sz w:val="21"/>
                <w:szCs w:val="21"/>
                <w:highlight w:val="none"/>
                <w:lang w:val="en-US" w:eastAsia="zh-CN"/>
              </w:rPr>
              <w:t>当期</w:t>
            </w:r>
            <w:r>
              <w:rPr>
                <w:rFonts w:hint="eastAsia" w:ascii="宋体" w:hAnsi="宋体" w:eastAsia="宋体" w:cs="宋体"/>
                <w:b w:val="0"/>
                <w:bCs w:val="0"/>
                <w:sz w:val="21"/>
                <w:szCs w:val="21"/>
                <w:highlight w:val="none"/>
              </w:rPr>
              <w:t>服务费；考核得分在80-89分为良好，扣</w:t>
            </w:r>
            <w:r>
              <w:rPr>
                <w:rFonts w:hint="eastAsia" w:ascii="宋体" w:hAnsi="宋体" w:cs="宋体"/>
                <w:b w:val="0"/>
                <w:bCs w:val="0"/>
                <w:sz w:val="21"/>
                <w:szCs w:val="21"/>
                <w:highlight w:val="none"/>
                <w:lang w:val="en-US" w:eastAsia="zh-CN"/>
              </w:rPr>
              <w:t>当期</w:t>
            </w:r>
            <w:r>
              <w:rPr>
                <w:rFonts w:hint="eastAsia" w:ascii="宋体" w:hAnsi="宋体" w:eastAsia="宋体" w:cs="宋体"/>
                <w:b w:val="0"/>
                <w:bCs w:val="0"/>
                <w:sz w:val="21"/>
                <w:szCs w:val="21"/>
                <w:highlight w:val="none"/>
              </w:rPr>
              <w:t>应付服务费的5%；考核得分在70-80分为一般，扣</w:t>
            </w:r>
            <w:r>
              <w:rPr>
                <w:rFonts w:hint="eastAsia" w:ascii="宋体" w:hAnsi="宋体" w:cs="宋体"/>
                <w:b w:val="0"/>
                <w:bCs w:val="0"/>
                <w:sz w:val="21"/>
                <w:szCs w:val="21"/>
                <w:highlight w:val="none"/>
                <w:lang w:val="en-US" w:eastAsia="zh-CN"/>
              </w:rPr>
              <w:t>当期</w:t>
            </w:r>
            <w:r>
              <w:rPr>
                <w:rFonts w:hint="eastAsia" w:ascii="宋体" w:hAnsi="宋体" w:eastAsia="宋体" w:cs="宋体"/>
                <w:b w:val="0"/>
                <w:bCs w:val="0"/>
                <w:sz w:val="21"/>
                <w:szCs w:val="21"/>
                <w:highlight w:val="none"/>
              </w:rPr>
              <w:t>应付服务费的10%；考核得分在70分以下为差，</w:t>
            </w:r>
            <w:r>
              <w:rPr>
                <w:rFonts w:hint="eastAsia" w:ascii="宋体" w:hAnsi="宋体" w:eastAsia="宋体" w:cs="宋体"/>
                <w:b w:val="0"/>
                <w:bCs w:val="0"/>
                <w:sz w:val="21"/>
                <w:szCs w:val="21"/>
                <w:highlight w:val="none"/>
                <w:lang w:eastAsia="zh-CN"/>
              </w:rPr>
              <w:t>甲方</w:t>
            </w:r>
            <w:r>
              <w:rPr>
                <w:rFonts w:hint="eastAsia" w:ascii="宋体" w:hAnsi="宋体" w:eastAsia="宋体" w:cs="宋体"/>
                <w:b w:val="0"/>
                <w:bCs w:val="0"/>
                <w:sz w:val="21"/>
                <w:szCs w:val="21"/>
                <w:highlight w:val="none"/>
              </w:rPr>
              <w:t>将要求</w:t>
            </w:r>
            <w:r>
              <w:rPr>
                <w:rFonts w:hint="eastAsia" w:ascii="宋体" w:hAnsi="宋体" w:eastAsia="宋体" w:cs="宋体"/>
                <w:b w:val="0"/>
                <w:bCs w:val="0"/>
                <w:sz w:val="21"/>
                <w:szCs w:val="21"/>
                <w:highlight w:val="none"/>
                <w:lang w:eastAsia="zh-CN"/>
              </w:rPr>
              <w:t>乙方</w:t>
            </w:r>
            <w:r>
              <w:rPr>
                <w:rFonts w:hint="eastAsia" w:ascii="宋体" w:hAnsi="宋体" w:eastAsia="宋体" w:cs="宋体"/>
                <w:b w:val="0"/>
                <w:bCs w:val="0"/>
                <w:sz w:val="21"/>
                <w:szCs w:val="21"/>
                <w:highlight w:val="none"/>
              </w:rPr>
              <w:t>对相关工作进行限期整改，整改后经随机抽查达到良好情形的，扣</w:t>
            </w:r>
            <w:r>
              <w:rPr>
                <w:rFonts w:hint="eastAsia" w:ascii="宋体" w:hAnsi="宋体" w:cs="宋体"/>
                <w:b w:val="0"/>
                <w:bCs w:val="0"/>
                <w:sz w:val="21"/>
                <w:szCs w:val="21"/>
                <w:highlight w:val="none"/>
                <w:lang w:val="en-US" w:eastAsia="zh-CN"/>
              </w:rPr>
              <w:t>当期</w:t>
            </w:r>
            <w:r>
              <w:rPr>
                <w:rFonts w:hint="eastAsia" w:ascii="宋体" w:hAnsi="宋体" w:eastAsia="宋体" w:cs="宋体"/>
                <w:b w:val="0"/>
                <w:bCs w:val="0"/>
                <w:sz w:val="21"/>
                <w:szCs w:val="21"/>
                <w:highlight w:val="none"/>
              </w:rPr>
              <w:t>应付服务费的15%；经过限期整改仍达不到良好情形的或拒不整改的，</w:t>
            </w:r>
            <w:r>
              <w:rPr>
                <w:rFonts w:hint="eastAsia" w:ascii="宋体" w:hAnsi="宋体" w:eastAsia="宋体" w:cs="宋体"/>
                <w:b w:val="0"/>
                <w:bCs w:val="0"/>
                <w:sz w:val="21"/>
                <w:szCs w:val="21"/>
                <w:highlight w:val="none"/>
                <w:lang w:eastAsia="zh-CN"/>
              </w:rPr>
              <w:t>甲方</w:t>
            </w:r>
            <w:r>
              <w:rPr>
                <w:rFonts w:hint="eastAsia" w:ascii="宋体" w:hAnsi="宋体" w:eastAsia="宋体" w:cs="宋体"/>
                <w:b w:val="0"/>
                <w:bCs w:val="0"/>
                <w:sz w:val="21"/>
                <w:szCs w:val="21"/>
                <w:highlight w:val="none"/>
              </w:rPr>
              <w:t>有权终止合同，</w:t>
            </w:r>
            <w:r>
              <w:rPr>
                <w:rFonts w:hint="eastAsia" w:ascii="宋体" w:hAnsi="宋体" w:eastAsia="宋体" w:cs="宋体"/>
                <w:b w:val="0"/>
                <w:bCs w:val="0"/>
                <w:sz w:val="21"/>
                <w:szCs w:val="21"/>
                <w:highlight w:val="none"/>
                <w:lang w:eastAsia="zh-CN"/>
              </w:rPr>
              <w:t>甲方</w:t>
            </w:r>
            <w:r>
              <w:rPr>
                <w:rFonts w:hint="eastAsia" w:ascii="宋体" w:hAnsi="宋体" w:eastAsia="宋体" w:cs="宋体"/>
                <w:b w:val="0"/>
                <w:bCs w:val="0"/>
                <w:sz w:val="21"/>
                <w:szCs w:val="21"/>
                <w:highlight w:val="none"/>
              </w:rPr>
              <w:t>相关损失由</w:t>
            </w:r>
            <w:r>
              <w:rPr>
                <w:rFonts w:hint="eastAsia" w:ascii="宋体" w:hAnsi="宋体" w:eastAsia="宋体" w:cs="宋体"/>
                <w:b w:val="0"/>
                <w:bCs w:val="0"/>
                <w:sz w:val="21"/>
                <w:szCs w:val="21"/>
                <w:highlight w:val="none"/>
                <w:lang w:eastAsia="zh-CN"/>
              </w:rPr>
              <w:t>乙方</w:t>
            </w:r>
            <w:r>
              <w:rPr>
                <w:rFonts w:hint="eastAsia" w:ascii="宋体" w:hAnsi="宋体" w:eastAsia="宋体" w:cs="宋体"/>
                <w:b w:val="0"/>
                <w:bCs w:val="0"/>
                <w:sz w:val="21"/>
                <w:szCs w:val="21"/>
                <w:highlight w:val="none"/>
              </w:rPr>
              <w:t>承担。</w:t>
            </w:r>
          </w:p>
        </w:tc>
      </w:tr>
      <w:tr w14:paraId="7773F3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10" w:type="dxa"/>
          <w:trHeight w:val="2621" w:hRule="atLeast"/>
        </w:trPr>
        <w:tc>
          <w:tcPr>
            <w:tcW w:w="3257" w:type="dxa"/>
            <w:gridSpan w:val="3"/>
            <w:tcBorders>
              <w:top w:val="single" w:color="auto" w:sz="8" w:space="0"/>
              <w:left w:val="single" w:color="auto" w:sz="8" w:space="0"/>
              <w:bottom w:val="single" w:color="auto" w:sz="4" w:space="0"/>
              <w:right w:val="single" w:color="auto" w:sz="8" w:space="0"/>
            </w:tcBorders>
            <w:noWrap w:val="0"/>
            <w:vAlign w:val="top"/>
          </w:tcPr>
          <w:p w14:paraId="0869550B">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firstLine="0" w:firstLineChars="0"/>
              <w:jc w:val="both"/>
              <w:textAlignment w:val="auto"/>
              <w:outlineLvl w:val="9"/>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sz w:val="24"/>
                <w:szCs w:val="24"/>
                <w:highlight w:val="none"/>
                <w:lang w:val="en-US" w:eastAsia="zh-CN"/>
              </w:rPr>
              <w:t>检查人：</w:t>
            </w:r>
          </w:p>
        </w:tc>
        <w:tc>
          <w:tcPr>
            <w:tcW w:w="6475" w:type="dxa"/>
            <w:gridSpan w:val="4"/>
            <w:tcBorders>
              <w:top w:val="single" w:color="auto" w:sz="8" w:space="0"/>
              <w:left w:val="single" w:color="auto" w:sz="8" w:space="0"/>
              <w:bottom w:val="single" w:color="auto" w:sz="4" w:space="0"/>
              <w:right w:val="single" w:color="auto" w:sz="8" w:space="0"/>
            </w:tcBorders>
            <w:noWrap w:val="0"/>
            <w:vAlign w:val="top"/>
          </w:tcPr>
          <w:p w14:paraId="16E1A16F">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0" w:leftChars="0" w:firstLine="0" w:firstLineChars="0"/>
              <w:jc w:val="both"/>
              <w:textAlignment w:val="auto"/>
              <w:outlineLvl w:val="9"/>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被考核单位确认签字盖章：</w:t>
            </w:r>
          </w:p>
        </w:tc>
      </w:tr>
    </w:tbl>
    <w:p w14:paraId="7F1B7678">
      <w:pP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br w:type="page"/>
      </w:r>
    </w:p>
    <w:p w14:paraId="61ADD618">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宋体" w:hAnsi="宋体" w:cs="宋体"/>
          <w:b/>
          <w:bCs/>
          <w:sz w:val="28"/>
          <w:szCs w:val="28"/>
          <w:highlight w:val="none"/>
          <w:lang w:val="en-US" w:eastAsia="zh-CN"/>
        </w:rPr>
      </w:pPr>
      <w:r>
        <w:rPr>
          <w:rFonts w:hint="eastAsia" w:ascii="宋体" w:hAnsi="宋体" w:eastAsia="宋体" w:cs="宋体"/>
          <w:b/>
          <w:bCs/>
          <w:sz w:val="28"/>
          <w:szCs w:val="28"/>
          <w:highlight w:val="none"/>
        </w:rPr>
        <w:t>附件</w:t>
      </w:r>
      <w:r>
        <w:rPr>
          <w:rFonts w:hint="eastAsia" w:ascii="宋体" w:hAnsi="宋体" w:cs="宋体"/>
          <w:b/>
          <w:bCs/>
          <w:sz w:val="28"/>
          <w:szCs w:val="28"/>
          <w:highlight w:val="none"/>
          <w:lang w:val="en-US" w:eastAsia="zh-CN"/>
        </w:rPr>
        <w:t>三</w:t>
      </w:r>
      <w:r>
        <w:rPr>
          <w:rFonts w:hint="eastAsia" w:ascii="宋体" w:hAnsi="宋体" w:eastAsia="宋体" w:cs="宋体"/>
          <w:b/>
          <w:bCs/>
          <w:sz w:val="28"/>
          <w:szCs w:val="28"/>
          <w:highlight w:val="none"/>
        </w:rPr>
        <w:t>:</w:t>
      </w:r>
      <w:r>
        <w:rPr>
          <w:rFonts w:hint="eastAsia" w:ascii="宋体" w:hAnsi="宋体" w:cs="宋体"/>
          <w:b/>
          <w:bCs/>
          <w:sz w:val="28"/>
          <w:szCs w:val="28"/>
          <w:highlight w:val="none"/>
          <w:lang w:val="en-US" w:eastAsia="zh-CN"/>
        </w:rPr>
        <w:t>费用明细表</w:t>
      </w:r>
    </w:p>
    <w:tbl>
      <w:tblPr>
        <w:tblStyle w:val="15"/>
        <w:tblpPr w:leftFromText="180" w:rightFromText="180" w:vertAnchor="text" w:horzAnchor="page" w:tblpX="1350" w:tblpY="420"/>
        <w:tblOverlap w:val="never"/>
        <w:tblW w:w="48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0"/>
        <w:gridCol w:w="1717"/>
        <w:gridCol w:w="953"/>
        <w:gridCol w:w="1230"/>
        <w:gridCol w:w="1279"/>
        <w:gridCol w:w="1432"/>
        <w:gridCol w:w="1682"/>
      </w:tblGrid>
      <w:tr w14:paraId="575E9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1"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15F01">
            <w:pPr>
              <w:keepNext w:val="0"/>
              <w:keepLines w:val="0"/>
              <w:widowControl/>
              <w:suppressLineNumbers w:val="0"/>
              <w:jc w:val="center"/>
              <w:textAlignment w:val="center"/>
              <w:outlineLvl w:val="9"/>
              <w:rPr>
                <w:rFonts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CFDED">
            <w:pPr>
              <w:keepNext w:val="0"/>
              <w:keepLines w:val="0"/>
              <w:widowControl/>
              <w:suppressLineNumbers w:val="0"/>
              <w:jc w:val="center"/>
              <w:textAlignment w:val="center"/>
              <w:outlineLvl w:val="9"/>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类别</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64DC6">
            <w:pPr>
              <w:keepNext w:val="0"/>
              <w:keepLines w:val="0"/>
              <w:widowControl/>
              <w:suppressLineNumbers w:val="0"/>
              <w:jc w:val="center"/>
              <w:textAlignment w:val="center"/>
              <w:outlineLvl w:val="9"/>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人数</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E7C5">
            <w:pPr>
              <w:keepNext w:val="0"/>
              <w:keepLines w:val="0"/>
              <w:widowControl/>
              <w:suppressLineNumbers w:val="0"/>
              <w:jc w:val="center"/>
              <w:textAlignment w:val="center"/>
              <w:outlineLvl w:val="9"/>
              <w:rPr>
                <w:rFonts w:hint="default" w:ascii="仿宋" w:hAnsi="仿宋" w:eastAsia="仿宋" w:cs="仿宋"/>
                <w:b/>
                <w:bCs/>
                <w:i w:val="0"/>
                <w:iCs w:val="0"/>
                <w:color w:val="000000"/>
                <w:sz w:val="28"/>
                <w:szCs w:val="28"/>
                <w:u w:val="none"/>
                <w:lang w:val="en-US"/>
              </w:rPr>
            </w:pPr>
            <w:r>
              <w:rPr>
                <w:rFonts w:hint="eastAsia" w:ascii="仿宋" w:hAnsi="仿宋" w:eastAsia="仿宋" w:cs="仿宋"/>
                <w:b/>
                <w:bCs/>
                <w:i w:val="0"/>
                <w:iCs w:val="0"/>
                <w:color w:val="000000"/>
                <w:kern w:val="0"/>
                <w:sz w:val="28"/>
                <w:szCs w:val="28"/>
                <w:u w:val="none"/>
                <w:lang w:val="en-US" w:eastAsia="zh-CN" w:bidi="ar"/>
              </w:rPr>
              <w:t>人员费用（每月）</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F34B2">
            <w:pPr>
              <w:keepNext w:val="0"/>
              <w:keepLines w:val="0"/>
              <w:widowControl/>
              <w:suppressLineNumbers w:val="0"/>
              <w:jc w:val="center"/>
              <w:textAlignment w:val="center"/>
              <w:outlineLvl w:val="9"/>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服务时间（月）</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F2A7">
            <w:pPr>
              <w:keepNext w:val="0"/>
              <w:keepLines w:val="0"/>
              <w:widowControl/>
              <w:suppressLineNumbers w:val="0"/>
              <w:jc w:val="center"/>
              <w:textAlignment w:val="center"/>
              <w:outlineLvl w:val="9"/>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合计(元)</w:t>
            </w: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8DD70">
            <w:pPr>
              <w:keepNext w:val="0"/>
              <w:keepLines w:val="0"/>
              <w:widowControl/>
              <w:suppressLineNumbers w:val="0"/>
              <w:jc w:val="center"/>
              <w:textAlignment w:val="center"/>
              <w:outlineLvl w:val="9"/>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备注</w:t>
            </w:r>
          </w:p>
        </w:tc>
      </w:tr>
      <w:tr w14:paraId="7C923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1"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2C5AF">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0A153">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工程人员</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E3DA">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6</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6070">
            <w:pPr>
              <w:keepNext w:val="0"/>
              <w:keepLines w:val="0"/>
              <w:widowControl/>
              <w:suppressLineNumbers w:val="0"/>
              <w:jc w:val="center"/>
              <w:textAlignment w:val="center"/>
              <w:outlineLvl w:val="9"/>
              <w:rPr>
                <w:rFonts w:hint="default" w:ascii="仿宋" w:hAnsi="仿宋" w:eastAsia="仿宋" w:cs="仿宋"/>
                <w:i w:val="0"/>
                <w:iCs w:val="0"/>
                <w:color w:val="000000"/>
                <w:sz w:val="28"/>
                <w:szCs w:val="28"/>
                <w:u w:val="none"/>
                <w:lang w:val="en-US"/>
              </w:rPr>
            </w:pPr>
            <w:r>
              <w:rPr>
                <w:rFonts w:hint="eastAsia" w:ascii="仿宋" w:hAnsi="仿宋" w:eastAsia="仿宋" w:cs="仿宋"/>
                <w:i w:val="0"/>
                <w:iCs w:val="0"/>
                <w:color w:val="000000"/>
                <w:kern w:val="0"/>
                <w:sz w:val="24"/>
                <w:szCs w:val="24"/>
                <w:u w:val="none"/>
                <w:lang w:val="en-US" w:eastAsia="zh-CN" w:bidi="ar"/>
              </w:rPr>
              <w:t>5500</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B0513">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12</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5BF9C">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396000</w:t>
            </w: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0C0E">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含人员社保，白班夜班保证2人在岗</w:t>
            </w:r>
          </w:p>
        </w:tc>
      </w:tr>
      <w:tr w14:paraId="56237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9"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D76EC">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1AAB">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劳保用品及安全防护费用</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036F9">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6</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DEA0">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200</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C23B9">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12</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03446">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2400</w:t>
            </w: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5DE76F">
            <w:pPr>
              <w:jc w:val="center"/>
              <w:outlineLvl w:val="9"/>
              <w:rPr>
                <w:rFonts w:hint="eastAsia" w:ascii="仿宋" w:hAnsi="仿宋" w:eastAsia="仿宋" w:cs="仿宋"/>
                <w:i w:val="0"/>
                <w:iCs w:val="0"/>
                <w:color w:val="000000"/>
                <w:sz w:val="28"/>
                <w:szCs w:val="28"/>
                <w:u w:val="none"/>
              </w:rPr>
            </w:pPr>
          </w:p>
        </w:tc>
      </w:tr>
      <w:tr w14:paraId="63BA3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EC387">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3</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8D8A">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工具费用</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2E48D">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6</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A68F7">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300</w:t>
            </w: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DC263">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12</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4B31B">
            <w:pPr>
              <w:keepNext w:val="0"/>
              <w:keepLines w:val="0"/>
              <w:widowControl/>
              <w:suppressLineNumbers w:val="0"/>
              <w:jc w:val="center"/>
              <w:textAlignment w:val="center"/>
              <w:outlineLvl w:val="9"/>
              <w:rPr>
                <w:rFonts w:hint="default" w:ascii="仿宋" w:hAnsi="仿宋" w:eastAsia="仿宋" w:cs="仿宋"/>
                <w:i w:val="0"/>
                <w:iCs w:val="0"/>
                <w:color w:val="000000"/>
                <w:sz w:val="28"/>
                <w:szCs w:val="28"/>
                <w:u w:val="none"/>
                <w:lang w:val="en-US"/>
              </w:rPr>
            </w:pPr>
            <w:r>
              <w:rPr>
                <w:rFonts w:hint="eastAsia" w:ascii="仿宋" w:hAnsi="仿宋" w:eastAsia="仿宋" w:cs="仿宋"/>
                <w:i w:val="0"/>
                <w:iCs w:val="0"/>
                <w:color w:val="000000"/>
                <w:kern w:val="0"/>
                <w:sz w:val="24"/>
                <w:szCs w:val="24"/>
                <w:u w:val="none"/>
                <w:lang w:val="en-US" w:eastAsia="zh-CN" w:bidi="ar"/>
              </w:rPr>
              <w:t>3600</w:t>
            </w: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EF070">
            <w:pPr>
              <w:keepNext w:val="0"/>
              <w:keepLines w:val="0"/>
              <w:widowControl/>
              <w:suppressLineNumbers w:val="0"/>
              <w:jc w:val="left"/>
              <w:textAlignment w:val="center"/>
              <w:outlineLvl w:val="9"/>
              <w:rPr>
                <w:rFonts w:hint="eastAsia" w:ascii="仿宋" w:hAnsi="仿宋" w:eastAsia="仿宋" w:cs="仿宋"/>
                <w:i w:val="0"/>
                <w:iCs w:val="0"/>
                <w:color w:val="000000"/>
                <w:sz w:val="28"/>
                <w:szCs w:val="28"/>
                <w:u w:val="none"/>
              </w:rPr>
            </w:pPr>
            <w:r>
              <w:rPr>
                <w:rFonts w:hint="eastAsia" w:ascii="宋体" w:hAnsi="宋体" w:eastAsia="宋体" w:cs="宋体"/>
                <w:i w:val="0"/>
                <w:iCs w:val="0"/>
                <w:color w:val="000000"/>
                <w:kern w:val="0"/>
                <w:sz w:val="24"/>
                <w:szCs w:val="24"/>
                <w:u w:val="none"/>
                <w:lang w:val="en-US" w:eastAsia="zh-CN" w:bidi="ar"/>
              </w:rPr>
              <w:t>包含乙方维修需要配备的工具及人员（春秋、冬装、夏装）的工作服装费用</w:t>
            </w:r>
          </w:p>
        </w:tc>
      </w:tr>
      <w:tr w14:paraId="1E4E3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93"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8C50">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4</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240D1">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工程维修零配件更换费用</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E10D2">
            <w:pPr>
              <w:jc w:val="center"/>
              <w:outlineLvl w:val="9"/>
              <w:rPr>
                <w:rFonts w:hint="eastAsia" w:ascii="仿宋" w:hAnsi="仿宋" w:eastAsia="仿宋" w:cs="仿宋"/>
                <w:i w:val="0"/>
                <w:iCs w:val="0"/>
                <w:color w:val="000000"/>
                <w:sz w:val="28"/>
                <w:szCs w:val="28"/>
                <w:u w:val="none"/>
              </w:rPr>
            </w:pP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E5DF5">
            <w:pPr>
              <w:jc w:val="center"/>
              <w:outlineLvl w:val="9"/>
              <w:rPr>
                <w:rFonts w:hint="eastAsia" w:ascii="仿宋" w:hAnsi="仿宋" w:eastAsia="仿宋" w:cs="仿宋"/>
                <w:i w:val="0"/>
                <w:iCs w:val="0"/>
                <w:color w:val="000000"/>
                <w:sz w:val="28"/>
                <w:szCs w:val="28"/>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D5ED">
            <w:pPr>
              <w:jc w:val="center"/>
              <w:outlineLvl w:val="9"/>
              <w:rPr>
                <w:rFonts w:hint="eastAsia" w:ascii="仿宋" w:hAnsi="仿宋" w:eastAsia="仿宋" w:cs="仿宋"/>
                <w:i w:val="0"/>
                <w:iCs w:val="0"/>
                <w:color w:val="000000"/>
                <w:sz w:val="28"/>
                <w:szCs w:val="28"/>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16A59">
            <w:pPr>
              <w:keepNext w:val="0"/>
              <w:keepLines w:val="0"/>
              <w:widowControl/>
              <w:suppressLineNumbers w:val="0"/>
              <w:jc w:val="center"/>
              <w:textAlignment w:val="center"/>
              <w:outlineLvl w:val="9"/>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4"/>
                <w:szCs w:val="24"/>
                <w:u w:val="none"/>
                <w:lang w:val="en-US" w:eastAsia="zh-CN" w:bidi="ar"/>
              </w:rPr>
              <w:t>10080</w:t>
            </w: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25E13">
            <w:pPr>
              <w:keepNext w:val="0"/>
              <w:keepLines w:val="0"/>
              <w:widowControl/>
              <w:suppressLineNumbers w:val="0"/>
              <w:jc w:val="left"/>
              <w:textAlignment w:val="center"/>
              <w:outlineLvl w:val="9"/>
              <w:rPr>
                <w:rFonts w:hint="eastAsia" w:ascii="仿宋" w:hAnsi="仿宋" w:eastAsia="仿宋" w:cs="仿宋"/>
                <w:i w:val="0"/>
                <w:iCs w:val="0"/>
                <w:color w:val="000000"/>
                <w:sz w:val="28"/>
                <w:szCs w:val="28"/>
                <w:u w:val="none"/>
              </w:rPr>
            </w:pPr>
            <w:r>
              <w:rPr>
                <w:rFonts w:hint="eastAsia" w:ascii="宋体" w:hAnsi="宋体" w:eastAsia="宋体" w:cs="宋体"/>
                <w:i w:val="0"/>
                <w:iCs w:val="0"/>
                <w:color w:val="000000"/>
                <w:kern w:val="0"/>
                <w:sz w:val="24"/>
                <w:szCs w:val="24"/>
                <w:u w:val="none"/>
                <w:lang w:val="en-US" w:eastAsia="zh-CN" w:bidi="ar"/>
              </w:rPr>
              <w:t>维修过程中需要更换的零配件，单价200元以下（含200元），全年累计不超过10080元，由报价单位负责采购更换；</w:t>
            </w:r>
          </w:p>
        </w:tc>
      </w:tr>
      <w:tr w14:paraId="1CD67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9"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6C6E">
            <w:pPr>
              <w:jc w:val="center"/>
              <w:outlineLvl w:val="9"/>
              <w:rPr>
                <w:rFonts w:hint="eastAsia" w:ascii="仿宋" w:hAnsi="仿宋" w:eastAsia="仿宋" w:cs="仿宋"/>
                <w:i w:val="0"/>
                <w:iCs w:val="0"/>
                <w:color w:val="000000"/>
                <w:kern w:val="0"/>
                <w:sz w:val="28"/>
                <w:szCs w:val="28"/>
                <w:u w:val="none"/>
                <w:lang w:val="en-US" w:eastAsia="zh-CN" w:bidi="ar"/>
              </w:rPr>
            </w:pP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6A641">
            <w:pPr>
              <w:keepNext w:val="0"/>
              <w:keepLines w:val="0"/>
              <w:widowControl/>
              <w:suppressLineNumbers w:val="0"/>
              <w:jc w:val="center"/>
              <w:textAlignment w:val="center"/>
              <w:outlineLvl w:val="9"/>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合计总金额</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6F31">
            <w:pPr>
              <w:jc w:val="center"/>
              <w:outlineLvl w:val="9"/>
              <w:rPr>
                <w:rFonts w:hint="eastAsia" w:ascii="仿宋" w:hAnsi="仿宋" w:eastAsia="仿宋" w:cs="仿宋"/>
                <w:i w:val="0"/>
                <w:iCs w:val="0"/>
                <w:color w:val="000000"/>
                <w:sz w:val="28"/>
                <w:szCs w:val="28"/>
                <w:u w:val="none"/>
              </w:rPr>
            </w:pP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AC550">
            <w:pPr>
              <w:jc w:val="center"/>
              <w:outlineLvl w:val="9"/>
              <w:rPr>
                <w:rFonts w:hint="eastAsia" w:ascii="仿宋" w:hAnsi="仿宋" w:eastAsia="仿宋" w:cs="仿宋"/>
                <w:i w:val="0"/>
                <w:iCs w:val="0"/>
                <w:color w:val="000000"/>
                <w:sz w:val="28"/>
                <w:szCs w:val="28"/>
                <w:u w:val="none"/>
              </w:rPr>
            </w:pPr>
          </w:p>
        </w:tc>
        <w:tc>
          <w:tcPr>
            <w:tcW w:w="1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F6F62">
            <w:pPr>
              <w:jc w:val="center"/>
              <w:outlineLvl w:val="9"/>
              <w:rPr>
                <w:rFonts w:hint="eastAsia" w:ascii="仿宋" w:hAnsi="仿宋" w:eastAsia="仿宋" w:cs="仿宋"/>
                <w:i w:val="0"/>
                <w:iCs w:val="0"/>
                <w:color w:val="000000"/>
                <w:sz w:val="28"/>
                <w:szCs w:val="28"/>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53435">
            <w:pPr>
              <w:keepNext w:val="0"/>
              <w:keepLines w:val="0"/>
              <w:widowControl/>
              <w:suppressLineNumbers w:val="0"/>
              <w:jc w:val="center"/>
              <w:textAlignment w:val="center"/>
              <w:outlineLvl w:val="9"/>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412080</w:t>
            </w:r>
          </w:p>
        </w:tc>
        <w:tc>
          <w:tcPr>
            <w:tcW w:w="1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67E6">
            <w:pPr>
              <w:keepNext w:val="0"/>
              <w:keepLines w:val="0"/>
              <w:widowControl/>
              <w:suppressLineNumbers w:val="0"/>
              <w:jc w:val="center"/>
              <w:textAlignment w:val="center"/>
              <w:outlineLvl w:val="9"/>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4"/>
                <w:szCs w:val="24"/>
                <w:u w:val="none"/>
                <w:lang w:val="en-US" w:eastAsia="zh-CN" w:bidi="ar"/>
              </w:rPr>
              <w:t>含税（1%）</w:t>
            </w:r>
          </w:p>
        </w:tc>
      </w:tr>
    </w:tbl>
    <w:p w14:paraId="075994B1">
      <w:pPr>
        <w:widowControl/>
        <w:numPr>
          <w:ilvl w:val="0"/>
          <w:numId w:val="0"/>
        </w:numPr>
        <w:spacing w:line="360" w:lineRule="auto"/>
        <w:ind w:leftChars="200"/>
        <w:jc w:val="left"/>
        <w:outlineLvl w:val="9"/>
        <w:rPr>
          <w:rFonts w:hint="eastAsia" w:ascii="宋体" w:hAnsi="宋体" w:cs="宋体"/>
          <w:spacing w:val="-1"/>
          <w:sz w:val="24"/>
          <w:szCs w:val="24"/>
          <w:lang w:val="en-US" w:eastAsia="zh-CN"/>
        </w:rPr>
      </w:pPr>
    </w:p>
    <w:p w14:paraId="248B27FF">
      <w:pPr>
        <w:keepNext w:val="0"/>
        <w:keepLines w:val="0"/>
        <w:pageBreakBefore w:val="0"/>
        <w:widowControl w:val="0"/>
        <w:kinsoku/>
        <w:wordWrap/>
        <w:overflowPunct/>
        <w:topLinePunct w:val="0"/>
        <w:autoSpaceDE/>
        <w:autoSpaceDN/>
        <w:bidi w:val="0"/>
        <w:adjustRightInd/>
        <w:snapToGrid/>
        <w:spacing w:line="580" w:lineRule="exact"/>
        <w:textAlignment w:val="auto"/>
        <w:outlineLvl w:val="9"/>
        <w:rPr>
          <w:rFonts w:hint="eastAsia" w:asciiTheme="minorEastAsia" w:hAnsiTheme="minorEastAsia" w:eastAsiaTheme="minorEastAsia" w:cstheme="minorEastAsia"/>
          <w:sz w:val="28"/>
          <w:szCs w:val="28"/>
          <w:lang w:val="en-US" w:eastAsia="zh-CN"/>
        </w:rPr>
      </w:pPr>
    </w:p>
    <w:p w14:paraId="2F3FB468">
      <w:pPr>
        <w:keepNext w:val="0"/>
        <w:keepLines w:val="0"/>
        <w:pageBreakBefore w:val="0"/>
        <w:kinsoku/>
        <w:wordWrap/>
        <w:overflowPunct/>
        <w:topLinePunct w:val="0"/>
        <w:bidi w:val="0"/>
        <w:spacing w:line="560" w:lineRule="exact"/>
        <w:textAlignment w:val="auto"/>
        <w:outlineLvl w:val="9"/>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br w:type="page"/>
      </w:r>
    </w:p>
    <w:p w14:paraId="28375FE3">
      <w:pPr>
        <w:pStyle w:val="2"/>
        <w:pageBreakBefore w:val="0"/>
        <w:numPr>
          <w:ilvl w:val="0"/>
          <w:numId w:val="0"/>
        </w:numPr>
        <w:kinsoku/>
        <w:wordWrap/>
        <w:overflowPunct/>
        <w:topLinePunct w:val="0"/>
        <w:autoSpaceDE/>
        <w:autoSpaceDN/>
        <w:bidi w:val="0"/>
        <w:adjustRightInd/>
        <w:snapToGrid/>
        <w:spacing w:line="560" w:lineRule="exact"/>
        <w:ind w:firstLine="0" w:firstLineChars="0"/>
        <w:textAlignment w:val="auto"/>
        <w:rPr>
          <w:rFonts w:hint="eastAsia" w:eastAsia="宋体"/>
          <w:b w:val="0"/>
          <w:bCs w:val="0"/>
          <w:color w:val="000000"/>
        </w:rPr>
      </w:pPr>
      <w:r>
        <w:rPr>
          <w:rFonts w:hint="eastAsia" w:ascii="Arial" w:hAnsi="Arial" w:eastAsia="宋体" w:cs="Times New Roman"/>
          <w:b w:val="0"/>
          <w:bCs w:val="0"/>
          <w:color w:val="000000"/>
          <w:kern w:val="44"/>
          <w:sz w:val="36"/>
          <w:szCs w:val="44"/>
          <w:lang w:val="en-US" w:eastAsia="zh-CN" w:bidi="ar-SA"/>
        </w:rPr>
        <w:t>第五部分</w:t>
      </w:r>
      <w:r>
        <w:rPr>
          <w:rFonts w:hint="eastAsia" w:cs="Times New Roman"/>
          <w:b w:val="0"/>
          <w:bCs w:val="0"/>
          <w:color w:val="000000"/>
          <w:kern w:val="44"/>
          <w:sz w:val="36"/>
          <w:szCs w:val="44"/>
          <w:lang w:val="en-US" w:eastAsia="zh-CN" w:bidi="ar-SA"/>
        </w:rPr>
        <w:t xml:space="preserve">  </w:t>
      </w:r>
      <w:r>
        <w:rPr>
          <w:rFonts w:hint="eastAsia" w:eastAsia="宋体"/>
          <w:b w:val="0"/>
          <w:bCs w:val="0"/>
          <w:color w:val="000000"/>
        </w:rPr>
        <w:t>询比采购投标文件格式</w:t>
      </w:r>
      <w:bookmarkEnd w:id="39"/>
    </w:p>
    <w:p w14:paraId="3473734C">
      <w:pPr>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rPr>
      </w:pPr>
    </w:p>
    <w:p w14:paraId="744131C4">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bookmarkStart w:id="40" w:name="_Toc11197"/>
      <w:r>
        <w:rPr>
          <w:rFonts w:hint="eastAsia"/>
          <w:color w:val="000000"/>
        </w:rPr>
        <w:t>询比采购投标文件密封袋封面格式</w:t>
      </w:r>
      <w:bookmarkEnd w:id="40"/>
    </w:p>
    <w:p w14:paraId="29B8F48D">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r>
        <w:rPr>
          <w:rFonts w:hint="eastAsia" w:ascii="宋体" w:hAnsi="宋体"/>
          <w:color w:val="000000"/>
          <w:sz w:val="24"/>
        </w:rPr>
        <w:t>文件编号：</w:t>
      </w:r>
    </w:p>
    <w:p w14:paraId="66FE5CA5">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122257E6">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1F650C8A">
      <w:pPr>
        <w:pageBreakBefore w:val="0"/>
        <w:kinsoku/>
        <w:wordWrap/>
        <w:overflowPunct/>
        <w:topLinePunct w:val="0"/>
        <w:autoSpaceDE/>
        <w:autoSpaceDN/>
        <w:bidi w:val="0"/>
        <w:adjustRightInd/>
        <w:snapToGrid/>
        <w:spacing w:line="560" w:lineRule="exact"/>
        <w:textAlignment w:val="auto"/>
        <w:rPr>
          <w:rFonts w:ascii="黑体" w:eastAsia="黑体"/>
          <w:iCs/>
          <w:color w:val="000000"/>
          <w:sz w:val="44"/>
          <w:szCs w:val="44"/>
        </w:rPr>
      </w:pPr>
    </w:p>
    <w:p w14:paraId="297ECAF2">
      <w:pPr>
        <w:pageBreakBefore w:val="0"/>
        <w:kinsoku/>
        <w:wordWrap/>
        <w:overflowPunct/>
        <w:topLinePunct w:val="0"/>
        <w:autoSpaceDE/>
        <w:autoSpaceDN/>
        <w:bidi w:val="0"/>
        <w:adjustRightInd/>
        <w:snapToGrid/>
        <w:spacing w:line="560" w:lineRule="exact"/>
        <w:ind w:right="-163"/>
        <w:jc w:val="center"/>
        <w:textAlignment w:val="auto"/>
        <w:rPr>
          <w:rFonts w:hint="eastAsia" w:ascii="黑体" w:eastAsia="黑体"/>
          <w:b/>
          <w:bCs/>
          <w:iCs/>
          <w:color w:val="000000"/>
          <w:sz w:val="56"/>
          <w:szCs w:val="56"/>
          <w:lang w:val="en-US" w:eastAsia="zh-CN"/>
        </w:rPr>
      </w:pPr>
      <w:r>
        <w:rPr>
          <w:rFonts w:hint="eastAsia" w:ascii="黑体" w:eastAsia="黑体"/>
          <w:b/>
          <w:bCs/>
          <w:iCs/>
          <w:color w:val="000000"/>
          <w:sz w:val="56"/>
          <w:szCs w:val="56"/>
          <w:lang w:val="en-US" w:eastAsia="zh-CN"/>
        </w:rPr>
        <w:t>张家口霖辉物业管理集团有限公司</w:t>
      </w:r>
    </w:p>
    <w:p w14:paraId="6E08738F">
      <w:pPr>
        <w:spacing w:line="288" w:lineRule="auto"/>
        <w:ind w:right="-163"/>
        <w:jc w:val="center"/>
        <w:rPr>
          <w:rFonts w:hint="default" w:ascii="楷体" w:hAnsi="楷体" w:eastAsia="楷体" w:cs="楷体_GB2312"/>
          <w:b/>
          <w:w w:val="90"/>
          <w:kern w:val="52"/>
          <w:sz w:val="56"/>
          <w:szCs w:val="56"/>
          <w:lang w:val="en-US" w:eastAsia="zh-CN"/>
        </w:rPr>
      </w:pPr>
      <w:r>
        <w:rPr>
          <w:rFonts w:hint="eastAsia" w:ascii="黑体" w:hAnsi="黑体" w:eastAsia="黑体" w:cs="黑体"/>
          <w:b/>
          <w:w w:val="90"/>
          <w:kern w:val="52"/>
          <w:sz w:val="56"/>
          <w:szCs w:val="56"/>
          <w:lang w:val="en-US" w:eastAsia="zh-CN"/>
        </w:rPr>
        <w:t>张家口市桥东区“建发集团办公楼”综合维修服务工程项目</w:t>
      </w:r>
    </w:p>
    <w:p w14:paraId="4C089DE1">
      <w:pPr>
        <w:pageBreakBefore w:val="0"/>
        <w:kinsoku/>
        <w:wordWrap/>
        <w:overflowPunct/>
        <w:topLinePunct w:val="0"/>
        <w:autoSpaceDE/>
        <w:autoSpaceDN/>
        <w:bidi w:val="0"/>
        <w:adjustRightInd/>
        <w:snapToGrid/>
        <w:spacing w:line="560" w:lineRule="exact"/>
        <w:jc w:val="center"/>
        <w:textAlignment w:val="auto"/>
        <w:rPr>
          <w:rFonts w:hint="eastAsia" w:ascii="黑体" w:eastAsia="黑体"/>
          <w:color w:val="000000"/>
          <w:sz w:val="30"/>
          <w:szCs w:val="30"/>
        </w:rPr>
      </w:pPr>
    </w:p>
    <w:p w14:paraId="614A8586">
      <w:pPr>
        <w:pageBreakBefore w:val="0"/>
        <w:kinsoku/>
        <w:wordWrap/>
        <w:overflowPunct/>
        <w:topLinePunct w:val="0"/>
        <w:autoSpaceDE/>
        <w:autoSpaceDN/>
        <w:bidi w:val="0"/>
        <w:adjustRightInd/>
        <w:snapToGrid/>
        <w:spacing w:line="560" w:lineRule="exact"/>
        <w:jc w:val="center"/>
        <w:textAlignment w:val="auto"/>
        <w:rPr>
          <w:rFonts w:hint="eastAsia" w:ascii="宋体" w:hAnsi="宋体"/>
          <w:color w:val="000000"/>
          <w:sz w:val="24"/>
        </w:rPr>
      </w:pPr>
    </w:p>
    <w:p w14:paraId="26C2DBEB">
      <w:pPr>
        <w:pageBreakBefore w:val="0"/>
        <w:kinsoku/>
        <w:wordWrap/>
        <w:overflowPunct/>
        <w:topLinePunct w:val="0"/>
        <w:autoSpaceDE/>
        <w:autoSpaceDN/>
        <w:bidi w:val="0"/>
        <w:adjustRightInd/>
        <w:snapToGrid/>
        <w:spacing w:line="560" w:lineRule="exact"/>
        <w:jc w:val="center"/>
        <w:textAlignment w:val="auto"/>
        <w:rPr>
          <w:rFonts w:hint="eastAsia" w:ascii="黑体" w:eastAsia="黑体"/>
          <w:color w:val="000000"/>
          <w:sz w:val="30"/>
          <w:szCs w:val="30"/>
        </w:rPr>
      </w:pPr>
    </w:p>
    <w:p w14:paraId="29AFBECC">
      <w:pPr>
        <w:pageBreakBefore w:val="0"/>
        <w:kinsoku/>
        <w:wordWrap/>
        <w:overflowPunct/>
        <w:topLinePunct w:val="0"/>
        <w:autoSpaceDE/>
        <w:autoSpaceDN/>
        <w:bidi w:val="0"/>
        <w:adjustRightInd/>
        <w:snapToGrid/>
        <w:spacing w:line="560" w:lineRule="exact"/>
        <w:ind w:firstLine="435"/>
        <w:jc w:val="center"/>
        <w:textAlignment w:val="auto"/>
        <w:rPr>
          <w:rFonts w:hint="eastAsia" w:ascii="黑体" w:hAnsi="宋体" w:eastAsia="黑体"/>
          <w:b/>
          <w:color w:val="000000"/>
          <w:sz w:val="56"/>
          <w:szCs w:val="56"/>
        </w:rPr>
      </w:pPr>
      <w:r>
        <w:rPr>
          <w:rFonts w:hint="eastAsia" w:ascii="黑体" w:hAnsi="宋体" w:eastAsia="黑体"/>
          <w:b/>
          <w:color w:val="000000"/>
          <w:sz w:val="56"/>
          <w:szCs w:val="56"/>
        </w:rPr>
        <w:t>询比采购投标文件</w:t>
      </w:r>
    </w:p>
    <w:p w14:paraId="26D7DA75">
      <w:pPr>
        <w:pageBreakBefore w:val="0"/>
        <w:kinsoku/>
        <w:wordWrap/>
        <w:overflowPunct/>
        <w:topLinePunct w:val="0"/>
        <w:autoSpaceDE/>
        <w:autoSpaceDN/>
        <w:bidi w:val="0"/>
        <w:adjustRightInd/>
        <w:snapToGrid/>
        <w:spacing w:line="560" w:lineRule="exact"/>
        <w:textAlignment w:val="auto"/>
        <w:rPr>
          <w:rFonts w:hint="eastAsia" w:ascii="宋体" w:hAnsi="宋体"/>
          <w:b/>
          <w:color w:val="000000"/>
          <w:sz w:val="44"/>
          <w:szCs w:val="44"/>
        </w:rPr>
      </w:pPr>
    </w:p>
    <w:p w14:paraId="6106524D">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5D41B59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color w:val="000000"/>
          <w:sz w:val="24"/>
          <w:szCs w:val="24"/>
        </w:rPr>
      </w:pPr>
      <w:r>
        <w:rPr>
          <w:rFonts w:hint="eastAsia" w:ascii="宋体" w:hAnsi="宋体"/>
          <w:color w:val="000000"/>
          <w:sz w:val="24"/>
          <w:szCs w:val="24"/>
        </w:rPr>
        <w:t>投标人：</w:t>
      </w:r>
      <w:r>
        <w:rPr>
          <w:rFonts w:hint="eastAsia" w:ascii="宋体" w:hAnsi="宋体"/>
          <w:color w:val="000000"/>
          <w:sz w:val="24"/>
          <w:szCs w:val="24"/>
          <w:u w:val="single"/>
        </w:rPr>
        <w:t>（公章）</w:t>
      </w:r>
    </w:p>
    <w:p w14:paraId="305B08C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color w:val="000000"/>
          <w:sz w:val="24"/>
          <w:szCs w:val="24"/>
        </w:rPr>
      </w:pPr>
      <w:r>
        <w:rPr>
          <w:rFonts w:hint="eastAsia" w:ascii="宋体" w:hAnsi="宋体"/>
          <w:color w:val="000000"/>
          <w:sz w:val="24"/>
          <w:szCs w:val="24"/>
        </w:rPr>
        <w:t>投标日期：</w:t>
      </w:r>
    </w:p>
    <w:p w14:paraId="265116C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标书类型：</w:t>
      </w:r>
      <w:r>
        <w:rPr>
          <w:rFonts w:hint="eastAsia" w:ascii="宋体" w:hAnsi="宋体"/>
          <w:color w:val="000000"/>
          <w:sz w:val="24"/>
          <w:szCs w:val="24"/>
          <w:u w:val="single"/>
        </w:rPr>
        <w:t>（壹）正（壹）副本（壹）电子版</w:t>
      </w:r>
    </w:p>
    <w:p w14:paraId="31185A03">
      <w:pPr>
        <w:pageBreakBefore w:val="0"/>
        <w:kinsoku/>
        <w:wordWrap/>
        <w:overflowPunct/>
        <w:topLinePunct w:val="0"/>
        <w:autoSpaceDE/>
        <w:autoSpaceDN/>
        <w:bidi w:val="0"/>
        <w:adjustRightInd/>
        <w:snapToGrid/>
        <w:spacing w:line="560" w:lineRule="exact"/>
        <w:jc w:val="left"/>
        <w:textAlignment w:val="auto"/>
        <w:rPr>
          <w:rFonts w:hint="eastAsia" w:ascii="宋体" w:hAnsi="宋体"/>
          <w:color w:val="000000"/>
          <w:sz w:val="32"/>
          <w:szCs w:val="32"/>
          <w:u w:val="single"/>
        </w:rPr>
      </w:pPr>
    </w:p>
    <w:p w14:paraId="594579E4">
      <w:pPr>
        <w:pageBreakBefore w:val="0"/>
        <w:kinsoku/>
        <w:wordWrap/>
        <w:overflowPunct/>
        <w:topLinePunct w:val="0"/>
        <w:autoSpaceDE/>
        <w:autoSpaceDN/>
        <w:bidi w:val="0"/>
        <w:adjustRightInd/>
        <w:snapToGrid/>
        <w:spacing w:line="560" w:lineRule="exact"/>
        <w:ind w:firstLine="482" w:firstLineChars="200"/>
        <w:textAlignment w:val="auto"/>
        <w:rPr>
          <w:rFonts w:hint="eastAsia" w:ascii="宋体" w:hAnsi="宋体"/>
          <w:b/>
          <w:color w:val="000000"/>
          <w:sz w:val="24"/>
          <w:szCs w:val="24"/>
        </w:rPr>
      </w:pPr>
      <w:r>
        <w:rPr>
          <w:rFonts w:hint="eastAsia" w:ascii="宋体" w:hAnsi="宋体"/>
          <w:b/>
          <w:color w:val="000000"/>
          <w:sz w:val="24"/>
          <w:szCs w:val="24"/>
        </w:rPr>
        <w:t>注：在标书外封面上注明截止日期前不得启封字样，供应商必须按提供的询比采购投标文件密封袋封面格式制作询比采购投标文件密封袋封面，密封袋封面必须加盖清晰的投标单位公章及法人章。</w:t>
      </w:r>
    </w:p>
    <w:p w14:paraId="05D374F3">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bookmarkStart w:id="41" w:name="_Toc29384"/>
      <w:r>
        <w:rPr>
          <w:rFonts w:hint="eastAsia"/>
          <w:color w:val="000000"/>
        </w:rPr>
        <w:t>询比采购投标文件封面格式</w:t>
      </w:r>
      <w:bookmarkEnd w:id="41"/>
    </w:p>
    <w:p w14:paraId="7D7931D7">
      <w:pPr>
        <w:pageBreakBefore w:val="0"/>
        <w:kinsoku/>
        <w:wordWrap/>
        <w:overflowPunct/>
        <w:topLinePunct w:val="0"/>
        <w:autoSpaceDE/>
        <w:autoSpaceDN/>
        <w:bidi w:val="0"/>
        <w:adjustRightInd/>
        <w:snapToGrid/>
        <w:spacing w:line="560" w:lineRule="exact"/>
        <w:textAlignment w:val="auto"/>
        <w:rPr>
          <w:rFonts w:hint="eastAsia" w:ascii="宋体" w:hAnsi="宋体" w:eastAsia="宋体"/>
          <w:color w:val="000000"/>
          <w:sz w:val="24"/>
          <w:lang w:eastAsia="zh-CN"/>
        </w:rPr>
      </w:pPr>
      <w:r>
        <w:rPr>
          <w:rFonts w:hint="eastAsia" w:ascii="宋体" w:hAnsi="宋体"/>
          <w:color w:val="000000"/>
          <w:sz w:val="24"/>
        </w:rPr>
        <w:t>文件编号：</w:t>
      </w:r>
    </w:p>
    <w:p w14:paraId="04D2870F">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471DA4EF">
      <w:pPr>
        <w:pageBreakBefore w:val="0"/>
        <w:kinsoku/>
        <w:wordWrap/>
        <w:overflowPunct/>
        <w:topLinePunct w:val="0"/>
        <w:autoSpaceDE/>
        <w:autoSpaceDN/>
        <w:bidi w:val="0"/>
        <w:adjustRightInd/>
        <w:snapToGrid/>
        <w:spacing w:line="560" w:lineRule="exact"/>
        <w:textAlignment w:val="auto"/>
        <w:rPr>
          <w:rFonts w:hint="eastAsia" w:ascii="宋体" w:hAnsi="宋体" w:eastAsia="宋体"/>
          <w:color w:val="000000"/>
          <w:sz w:val="24"/>
          <w:lang w:eastAsia="zh-CN"/>
        </w:rPr>
      </w:pPr>
    </w:p>
    <w:p w14:paraId="64004255">
      <w:pPr>
        <w:pageBreakBefore w:val="0"/>
        <w:kinsoku/>
        <w:wordWrap/>
        <w:overflowPunct/>
        <w:topLinePunct w:val="0"/>
        <w:autoSpaceDE/>
        <w:autoSpaceDN/>
        <w:bidi w:val="0"/>
        <w:adjustRightInd/>
        <w:snapToGrid/>
        <w:spacing w:line="560" w:lineRule="exact"/>
        <w:textAlignment w:val="auto"/>
        <w:rPr>
          <w:rFonts w:hint="eastAsia" w:ascii="宋体" w:hAnsi="宋体"/>
          <w:b/>
          <w:bCs/>
          <w:color w:val="000000"/>
          <w:sz w:val="56"/>
          <w:szCs w:val="56"/>
        </w:rPr>
      </w:pPr>
    </w:p>
    <w:p w14:paraId="363EBF8A">
      <w:pPr>
        <w:pageBreakBefore w:val="0"/>
        <w:kinsoku/>
        <w:wordWrap/>
        <w:overflowPunct/>
        <w:topLinePunct w:val="0"/>
        <w:autoSpaceDE/>
        <w:autoSpaceDN/>
        <w:bidi w:val="0"/>
        <w:adjustRightInd/>
        <w:snapToGrid/>
        <w:spacing w:line="560" w:lineRule="exact"/>
        <w:ind w:right="-163"/>
        <w:jc w:val="center"/>
        <w:textAlignment w:val="auto"/>
        <w:rPr>
          <w:rFonts w:hint="eastAsia" w:ascii="黑体" w:eastAsia="黑体"/>
          <w:b/>
          <w:bCs/>
          <w:iCs/>
          <w:color w:val="000000"/>
          <w:sz w:val="56"/>
          <w:szCs w:val="56"/>
          <w:lang w:val="en-US" w:eastAsia="zh-CN"/>
        </w:rPr>
      </w:pPr>
      <w:r>
        <w:rPr>
          <w:rFonts w:hint="eastAsia" w:ascii="黑体" w:eastAsia="黑体"/>
          <w:b/>
          <w:bCs/>
          <w:iCs/>
          <w:color w:val="000000"/>
          <w:sz w:val="56"/>
          <w:szCs w:val="56"/>
          <w:lang w:val="en-US" w:eastAsia="zh-CN"/>
        </w:rPr>
        <w:t>张家口霖辉物业管理集团有限公司</w:t>
      </w:r>
    </w:p>
    <w:p w14:paraId="3C0D2B62">
      <w:pPr>
        <w:spacing w:line="288" w:lineRule="auto"/>
        <w:ind w:right="-163"/>
        <w:jc w:val="center"/>
        <w:rPr>
          <w:rFonts w:hint="default" w:ascii="楷体" w:hAnsi="楷体" w:eastAsia="楷体" w:cs="楷体_GB2312"/>
          <w:b/>
          <w:w w:val="90"/>
          <w:kern w:val="52"/>
          <w:sz w:val="56"/>
          <w:szCs w:val="56"/>
          <w:lang w:val="en-US" w:eastAsia="zh-CN"/>
        </w:rPr>
      </w:pPr>
      <w:r>
        <w:rPr>
          <w:rFonts w:hint="eastAsia" w:ascii="黑体" w:hAnsi="黑体" w:eastAsia="黑体" w:cs="黑体"/>
          <w:b/>
          <w:w w:val="90"/>
          <w:kern w:val="52"/>
          <w:sz w:val="56"/>
          <w:szCs w:val="56"/>
          <w:lang w:val="en-US" w:eastAsia="zh-CN"/>
        </w:rPr>
        <w:t>张家口市桥东区“建发集团办公楼”综合维修服务工程项目</w:t>
      </w:r>
    </w:p>
    <w:p w14:paraId="52138668">
      <w:pPr>
        <w:pageBreakBefore w:val="0"/>
        <w:kinsoku/>
        <w:wordWrap/>
        <w:overflowPunct/>
        <w:topLinePunct w:val="0"/>
        <w:autoSpaceDE/>
        <w:autoSpaceDN/>
        <w:bidi w:val="0"/>
        <w:adjustRightInd/>
        <w:snapToGrid/>
        <w:spacing w:line="560" w:lineRule="exact"/>
        <w:textAlignment w:val="auto"/>
        <w:rPr>
          <w:rFonts w:hint="eastAsia" w:ascii="宋体" w:hAnsi="宋体"/>
          <w:b/>
          <w:bCs/>
          <w:color w:val="000000"/>
          <w:sz w:val="56"/>
          <w:szCs w:val="56"/>
        </w:rPr>
      </w:pPr>
    </w:p>
    <w:p w14:paraId="59B9E45F">
      <w:pPr>
        <w:pageBreakBefore w:val="0"/>
        <w:kinsoku/>
        <w:wordWrap/>
        <w:overflowPunct/>
        <w:topLinePunct w:val="0"/>
        <w:autoSpaceDE/>
        <w:autoSpaceDN/>
        <w:bidi w:val="0"/>
        <w:adjustRightInd/>
        <w:snapToGrid/>
        <w:spacing w:line="560" w:lineRule="exact"/>
        <w:textAlignment w:val="auto"/>
        <w:rPr>
          <w:rFonts w:hint="eastAsia" w:ascii="宋体" w:hAnsi="宋体"/>
          <w:b/>
          <w:bCs/>
          <w:color w:val="000000"/>
          <w:sz w:val="56"/>
          <w:szCs w:val="56"/>
        </w:rPr>
      </w:pPr>
    </w:p>
    <w:p w14:paraId="340A4E5D">
      <w:pPr>
        <w:pageBreakBefore w:val="0"/>
        <w:kinsoku/>
        <w:wordWrap/>
        <w:overflowPunct/>
        <w:topLinePunct w:val="0"/>
        <w:autoSpaceDE/>
        <w:autoSpaceDN/>
        <w:bidi w:val="0"/>
        <w:adjustRightInd/>
        <w:snapToGrid/>
        <w:spacing w:line="560" w:lineRule="exact"/>
        <w:ind w:firstLine="435"/>
        <w:jc w:val="center"/>
        <w:textAlignment w:val="auto"/>
        <w:rPr>
          <w:rFonts w:hint="eastAsia" w:ascii="黑体" w:hAnsi="宋体" w:eastAsia="黑体"/>
          <w:b/>
          <w:bCs/>
          <w:color w:val="000000"/>
          <w:sz w:val="56"/>
          <w:szCs w:val="56"/>
        </w:rPr>
      </w:pPr>
      <w:r>
        <w:rPr>
          <w:rFonts w:hint="eastAsia" w:ascii="黑体" w:hAnsi="宋体" w:eastAsia="黑体"/>
          <w:b/>
          <w:bCs/>
          <w:color w:val="000000"/>
          <w:sz w:val="56"/>
          <w:szCs w:val="56"/>
        </w:rPr>
        <w:t>询比采购投标文件</w:t>
      </w:r>
    </w:p>
    <w:p w14:paraId="5DB9B06B">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09B44490">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4A8EEDBD">
      <w:pPr>
        <w:pageBreakBefore w:val="0"/>
        <w:kinsoku/>
        <w:wordWrap/>
        <w:overflowPunct/>
        <w:topLinePunct w:val="0"/>
        <w:autoSpaceDE/>
        <w:autoSpaceDN/>
        <w:bidi w:val="0"/>
        <w:adjustRightInd/>
        <w:snapToGrid/>
        <w:spacing w:line="560" w:lineRule="exact"/>
        <w:ind w:firstLine="435"/>
        <w:textAlignment w:val="auto"/>
        <w:rPr>
          <w:rFonts w:hint="eastAsia" w:ascii="宋体" w:hAnsi="宋体"/>
          <w:color w:val="000000"/>
          <w:sz w:val="24"/>
        </w:rPr>
      </w:pPr>
    </w:p>
    <w:p w14:paraId="5ED3DB4F">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lang w:eastAsia="zh-CN"/>
        </w:rPr>
      </w:pPr>
      <w:bookmarkStart w:id="42" w:name="_Toc10947"/>
      <w:bookmarkStart w:id="43" w:name="_Toc357776763"/>
      <w:bookmarkStart w:id="44" w:name="_Toc362532553"/>
      <w:bookmarkStart w:id="45" w:name="_Toc358906043"/>
      <w:r>
        <w:rPr>
          <w:rFonts w:hint="eastAsia" w:asciiTheme="minorEastAsia" w:hAnsiTheme="minorEastAsia" w:eastAsiaTheme="minorEastAsia" w:cstheme="minorEastAsia"/>
          <w:color w:val="000000"/>
          <w:sz w:val="24"/>
          <w:szCs w:val="24"/>
        </w:rPr>
        <w:t>采购人：</w:t>
      </w:r>
      <w:r>
        <w:rPr>
          <w:rFonts w:hint="eastAsia" w:asciiTheme="minorEastAsia" w:hAnsiTheme="minorEastAsia" w:eastAsiaTheme="minorEastAsia" w:cstheme="minorEastAsia"/>
          <w:color w:val="000000"/>
          <w:sz w:val="24"/>
          <w:szCs w:val="24"/>
          <w:u w:val="single"/>
          <w:lang w:val="en-US" w:eastAsia="zh-CN"/>
        </w:rPr>
        <w:t>张家口霖辉物业管理集团有限公司</w:t>
      </w:r>
    </w:p>
    <w:p w14:paraId="700F8BF4">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lang w:eastAsia="zh-CN"/>
        </w:rPr>
      </w:pPr>
      <w:r>
        <w:rPr>
          <w:rFonts w:hint="eastAsia" w:asciiTheme="minorEastAsia" w:hAnsiTheme="minorEastAsia" w:eastAsiaTheme="minorEastAsia" w:cstheme="minorEastAsia"/>
          <w:color w:val="000000"/>
          <w:sz w:val="24"/>
          <w:szCs w:val="24"/>
        </w:rPr>
        <w:t>投标人：</w:t>
      </w:r>
      <w:r>
        <w:rPr>
          <w:rFonts w:hint="eastAsia" w:asciiTheme="minorEastAsia" w:hAnsiTheme="minorEastAsia" w:eastAsiaTheme="minorEastAsia" w:cstheme="minorEastAsia"/>
          <w:color w:val="000000"/>
          <w:sz w:val="24"/>
          <w:szCs w:val="24"/>
          <w:u w:val="single"/>
        </w:rPr>
        <w:t>（公章）</w:t>
      </w:r>
    </w:p>
    <w:p w14:paraId="117F61AA">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lang w:eastAsia="zh-CN"/>
        </w:rPr>
      </w:pPr>
      <w:r>
        <w:rPr>
          <w:rFonts w:hint="eastAsia" w:asciiTheme="minorEastAsia" w:hAnsiTheme="minorEastAsia" w:eastAsiaTheme="minorEastAsia" w:cstheme="minorEastAsia"/>
          <w:color w:val="000000"/>
          <w:sz w:val="24"/>
          <w:szCs w:val="24"/>
        </w:rPr>
        <w:t>地址：</w:t>
      </w:r>
    </w:p>
    <w:p w14:paraId="3687FA8B">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lang w:eastAsia="zh-CN"/>
        </w:rPr>
      </w:pPr>
      <w:r>
        <w:rPr>
          <w:rFonts w:hint="eastAsia" w:asciiTheme="minorEastAsia" w:hAnsiTheme="minorEastAsia" w:eastAsiaTheme="minorEastAsia" w:cstheme="minorEastAsia"/>
          <w:color w:val="000000"/>
          <w:sz w:val="24"/>
          <w:szCs w:val="24"/>
        </w:rPr>
        <w:t>法定代表人：</w:t>
      </w:r>
      <w:r>
        <w:rPr>
          <w:rFonts w:hint="eastAsia" w:asciiTheme="minorEastAsia" w:hAnsiTheme="minorEastAsia" w:eastAsiaTheme="minorEastAsia" w:cstheme="minorEastAsia"/>
          <w:color w:val="000000"/>
          <w:sz w:val="24"/>
          <w:szCs w:val="24"/>
          <w:u w:val="single"/>
        </w:rPr>
        <w:t>（签字）</w:t>
      </w:r>
    </w:p>
    <w:p w14:paraId="2CD928F1">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lang w:eastAsia="zh-CN"/>
        </w:rPr>
      </w:pPr>
      <w:r>
        <w:rPr>
          <w:rFonts w:hint="eastAsia" w:asciiTheme="minorEastAsia" w:hAnsiTheme="minorEastAsia" w:eastAsiaTheme="minorEastAsia" w:cstheme="minorEastAsia"/>
          <w:color w:val="000000"/>
          <w:sz w:val="24"/>
          <w:szCs w:val="24"/>
        </w:rPr>
        <w:t>联系电话：</w:t>
      </w:r>
    </w:p>
    <w:p w14:paraId="48B79A9D">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lang w:eastAsia="zh-CN"/>
        </w:rPr>
      </w:pPr>
      <w:r>
        <w:rPr>
          <w:rFonts w:hint="eastAsia" w:asciiTheme="minorEastAsia" w:hAnsiTheme="minorEastAsia" w:eastAsiaTheme="minorEastAsia" w:cstheme="minorEastAsia"/>
          <w:color w:val="000000"/>
          <w:sz w:val="24"/>
          <w:szCs w:val="24"/>
        </w:rPr>
        <w:t>投标日期：</w:t>
      </w:r>
    </w:p>
    <w:p w14:paraId="2E26AF0E">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color w:val="000000"/>
          <w:sz w:val="24"/>
          <w:szCs w:val="24"/>
        </w:rPr>
        <w:t>标书类型：</w:t>
      </w:r>
      <w:r>
        <w:rPr>
          <w:rFonts w:hint="eastAsia" w:asciiTheme="minorEastAsia" w:hAnsiTheme="minorEastAsia" w:eastAsiaTheme="minorEastAsia" w:cstheme="minorEastAsia"/>
          <w:color w:val="000000"/>
          <w:sz w:val="24"/>
          <w:szCs w:val="24"/>
          <w:u w:val="single"/>
        </w:rPr>
        <w:t>正本（或副本）</w:t>
      </w:r>
    </w:p>
    <w:p w14:paraId="6AAD948F">
      <w:pPr>
        <w:pageBreakBefore w:val="0"/>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注：供应商必须按招标人提供的询比采购投标文件封面格式制作询比采购投标文件封面。</w:t>
      </w:r>
    </w:p>
    <w:p w14:paraId="102AAED0">
      <w:pPr>
        <w:pStyle w:val="3"/>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供应商诚信承诺书</w:t>
      </w:r>
    </w:p>
    <w:p w14:paraId="0E8EE11A">
      <w:pPr>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供应商诚信承诺书</w:t>
      </w:r>
    </w:p>
    <w:p w14:paraId="7F804FFB">
      <w:pPr>
        <w:rPr>
          <w:rFonts w:hint="eastAsia"/>
        </w:rPr>
      </w:pPr>
    </w:p>
    <w:p w14:paraId="30C1EEB5">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lang w:val="en-US" w:eastAsia="zh-CN"/>
        </w:rPr>
        <w:t>张家口霖辉物业管理集团有限公司</w:t>
      </w:r>
      <w:r>
        <w:rPr>
          <w:rFonts w:hint="eastAsia" w:ascii="宋体" w:hAnsi="宋体"/>
          <w:color w:val="000000"/>
          <w:sz w:val="24"/>
          <w:szCs w:val="24"/>
        </w:rPr>
        <w:t>：</w:t>
      </w:r>
    </w:p>
    <w:p w14:paraId="4F3C6F95">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b/>
          <w:color w:val="000000"/>
          <w:sz w:val="24"/>
          <w:szCs w:val="24"/>
        </w:rPr>
      </w:pPr>
      <w:r>
        <w:rPr>
          <w:rFonts w:hint="eastAsia" w:ascii="宋体" w:hAnsi="宋体"/>
          <w:color w:val="000000"/>
          <w:sz w:val="24"/>
          <w:szCs w:val="24"/>
        </w:rPr>
        <w:t>我公司自愿参与贵公司组织的</w:t>
      </w:r>
      <w:r>
        <w:rPr>
          <w:rFonts w:hint="eastAsia" w:ascii="宋体" w:hAnsi="宋体"/>
          <w:color w:val="000000"/>
          <w:sz w:val="24"/>
          <w:szCs w:val="24"/>
          <w:u w:val="single"/>
        </w:rPr>
        <w:t>（文件编号：）</w:t>
      </w:r>
      <w:r>
        <w:rPr>
          <w:rFonts w:hint="eastAsia" w:ascii="宋体" w:hAnsi="宋体"/>
          <w:color w:val="000000"/>
          <w:sz w:val="24"/>
          <w:szCs w:val="24"/>
        </w:rPr>
        <w:t>采购活动，严格遵守《中华人民共和国政府采购法》、《张家口市政府采购供应商诚信行为管理暂行办法》（张财字[2009]255号）的相关规定，坚守公平竞争，并无条件地遵守本次采购活动各项规定。</w:t>
      </w:r>
      <w:r>
        <w:rPr>
          <w:rFonts w:hint="eastAsia" w:ascii="宋体" w:hAnsi="宋体"/>
          <w:b/>
          <w:color w:val="000000"/>
          <w:sz w:val="24"/>
          <w:szCs w:val="24"/>
        </w:rPr>
        <w:t>我们郑重承诺：如果在本次招标活动中有以下情形的，愿意接受政府采购监管等部门给予相关处罚并承担法律责任。</w:t>
      </w:r>
    </w:p>
    <w:p w14:paraId="298A12B6">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（一）提供虚假材料谋取中标（中标）的；</w:t>
      </w:r>
    </w:p>
    <w:p w14:paraId="341F3D21">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（二）采取不正当手段诋毁、排挤其他供应商的；</w:t>
      </w:r>
    </w:p>
    <w:p w14:paraId="2B1D8ED0">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（三）与采购人、其他供应商或者采购招标人恶意串通的；</w:t>
      </w:r>
    </w:p>
    <w:p w14:paraId="2330C05D">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（四）向采购单位或责任人行贿或提供其他不正当利益的；</w:t>
      </w:r>
    </w:p>
    <w:p w14:paraId="10E086C9">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（五）在招标采购过程中与招标采购单位进行协商谈判或者与采购人另行订立背离合同实质性内容协议的；</w:t>
      </w:r>
    </w:p>
    <w:p w14:paraId="5B14AF43">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（六）开标后擅自撤销投标，影响招标继续进行的；</w:t>
      </w:r>
    </w:p>
    <w:p w14:paraId="5E817538">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（七）无正当理由，在规定时间内不与采购单位签订合同的；</w:t>
      </w:r>
    </w:p>
    <w:p w14:paraId="0D7FF488">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（八）将中标项目转让给他人或非法分包他人的；</w:t>
      </w:r>
    </w:p>
    <w:p w14:paraId="4E803076">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（九）无正当理由，拒绝履行合同义务的；</w:t>
      </w:r>
    </w:p>
    <w:p w14:paraId="35E90430">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（十）擅自在合同履行有效期内降低中标货物配置、技术指标等级或质量等级、更换品牌、弄虚作假等或终止政府采购合同的；</w:t>
      </w:r>
    </w:p>
    <w:p w14:paraId="18946047">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（十一）无正当理由放弃中标（中标）项目的；</w:t>
      </w:r>
    </w:p>
    <w:p w14:paraId="19394A26">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（十二）与采购人串通或接受采购人要求，在履约合同中通过减少货物数量，降低配置、技术要求、质量和服务标准等，却仍按原合同的数量、配置、技术要求、质量、服务标准等进行虚假验收的；</w:t>
      </w:r>
    </w:p>
    <w:p w14:paraId="14B96B20">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（十三）与采购人串通，对尚未履约完毕的采购项目出具虚假验收报告的；</w:t>
      </w:r>
    </w:p>
    <w:p w14:paraId="6C936FA1">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（十四）无不可抗力因素，拒绝提供售后服务、售后服务态度恶劣、故意提高维修配件价格（高于市场平均价）的；</w:t>
      </w:r>
    </w:p>
    <w:p w14:paraId="2C1AD24D">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（十五）投标后对询比采购文件的相关内容再进行质疑的；</w:t>
      </w:r>
    </w:p>
    <w:p w14:paraId="031C13FE">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（十六）恶意投诉的行为：投诉经查无实据的、捏造事实或者提供虚假投诉材料的；</w:t>
      </w:r>
    </w:p>
    <w:p w14:paraId="50D636EC">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（十七）拒绝有关部门监督检查或者提供虚假情况的；</w:t>
      </w:r>
    </w:p>
    <w:p w14:paraId="08003F51">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（十八）财政、监察部门认定的其他不诚信行为。</w:t>
      </w:r>
    </w:p>
    <w:p w14:paraId="0D49779C">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公司名称:（盖章）</w:t>
      </w:r>
    </w:p>
    <w:p w14:paraId="473C9B17">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法定代表人（签字）：</w:t>
      </w:r>
    </w:p>
    <w:p w14:paraId="240DE4EE">
      <w:pPr>
        <w:pageBreakBefore w:val="0"/>
        <w:kinsoku/>
        <w:wordWrap/>
        <w:overflowPunct/>
        <w:topLinePunct w:val="0"/>
        <w:autoSpaceDE/>
        <w:autoSpaceDN/>
        <w:bidi w:val="0"/>
        <w:adjustRightInd/>
        <w:snapToGrid/>
        <w:spacing w:line="560" w:lineRule="exact"/>
        <w:ind w:firstLine="480" w:firstLineChars="200"/>
        <w:textAlignment w:val="auto"/>
        <w:rPr>
          <w:rFonts w:hint="eastAsia"/>
          <w:sz w:val="24"/>
          <w:szCs w:val="24"/>
        </w:rPr>
      </w:pPr>
      <w:r>
        <w:rPr>
          <w:rFonts w:hint="eastAsia" w:ascii="宋体" w:hAnsi="宋体"/>
          <w:color w:val="000000"/>
          <w:sz w:val="24"/>
          <w:szCs w:val="24"/>
        </w:rPr>
        <w:t>年月日</w:t>
      </w:r>
      <w:bookmarkStart w:id="46" w:name="_Toc28013"/>
    </w:p>
    <w:p w14:paraId="66D376CF">
      <w:pPr>
        <w:rPr>
          <w:rFonts w:hint="eastAsia"/>
          <w:color w:val="000000"/>
        </w:rPr>
      </w:pPr>
      <w:r>
        <w:rPr>
          <w:rFonts w:hint="eastAsia"/>
          <w:color w:val="000000"/>
        </w:rPr>
        <w:br w:type="page"/>
      </w:r>
    </w:p>
    <w:p w14:paraId="75C55F38">
      <w:pPr>
        <w:pStyle w:val="3"/>
        <w:pageBreakBefore w:val="0"/>
        <w:kinsoku/>
        <w:wordWrap/>
        <w:overflowPunct/>
        <w:topLinePunct w:val="0"/>
        <w:autoSpaceDE/>
        <w:autoSpaceDN/>
        <w:bidi w:val="0"/>
        <w:adjustRightInd/>
        <w:snapToGrid/>
        <w:spacing w:line="560" w:lineRule="exact"/>
        <w:textAlignment w:val="auto"/>
        <w:rPr>
          <w:rFonts w:hint="eastAsia" w:ascii="宋体" w:hAnsi="宋体"/>
          <w:b/>
          <w:color w:val="000000"/>
          <w:sz w:val="24"/>
          <w:szCs w:val="24"/>
        </w:rPr>
      </w:pPr>
      <w:r>
        <w:rPr>
          <w:rFonts w:hint="eastAsia"/>
          <w:color w:val="000000"/>
          <w:sz w:val="24"/>
          <w:szCs w:val="24"/>
        </w:rPr>
        <w:t>投标函格式</w:t>
      </w:r>
      <w:bookmarkEnd w:id="46"/>
    </w:p>
    <w:p w14:paraId="46A7FB63">
      <w:pPr>
        <w:pageBreakBefore w:val="0"/>
        <w:kinsoku/>
        <w:wordWrap/>
        <w:overflowPunct/>
        <w:topLinePunct w:val="0"/>
        <w:autoSpaceDE/>
        <w:autoSpaceDN/>
        <w:bidi w:val="0"/>
        <w:adjustRightInd/>
        <w:snapToGrid/>
        <w:spacing w:line="560" w:lineRule="exact"/>
        <w:ind w:firstLine="435"/>
        <w:jc w:val="center"/>
        <w:textAlignment w:val="auto"/>
        <w:rPr>
          <w:rFonts w:hint="eastAsia" w:ascii="宋体" w:hAnsi="宋体"/>
          <w:b/>
          <w:color w:val="000000"/>
          <w:sz w:val="24"/>
          <w:szCs w:val="24"/>
        </w:rPr>
      </w:pPr>
      <w:r>
        <w:rPr>
          <w:rFonts w:hint="eastAsia" w:ascii="宋体" w:hAnsi="宋体"/>
          <w:b/>
          <w:color w:val="000000"/>
          <w:sz w:val="24"/>
          <w:szCs w:val="24"/>
        </w:rPr>
        <w:t>投标函</w:t>
      </w:r>
    </w:p>
    <w:p w14:paraId="05F9F653">
      <w:pPr>
        <w:pageBreakBefore w:val="0"/>
        <w:kinsoku/>
        <w:wordWrap/>
        <w:overflowPunct/>
        <w:topLinePunct w:val="0"/>
        <w:autoSpaceDE/>
        <w:autoSpaceDN/>
        <w:bidi w:val="0"/>
        <w:adjustRightInd/>
        <w:snapToGrid/>
        <w:spacing w:line="560" w:lineRule="exact"/>
        <w:ind w:firstLine="435"/>
        <w:jc w:val="center"/>
        <w:textAlignment w:val="auto"/>
        <w:rPr>
          <w:rFonts w:hint="eastAsia" w:ascii="宋体" w:hAnsi="宋体"/>
          <w:b/>
          <w:color w:val="000000"/>
          <w:sz w:val="24"/>
          <w:szCs w:val="24"/>
        </w:rPr>
      </w:pPr>
    </w:p>
    <w:p w14:paraId="56B7FAC4">
      <w:pPr>
        <w:pageBreakBefore w:val="0"/>
        <w:kinsoku/>
        <w:wordWrap/>
        <w:overflowPunct/>
        <w:topLinePunct w:val="0"/>
        <w:autoSpaceDE/>
        <w:autoSpaceDN/>
        <w:bidi w:val="0"/>
        <w:adjustRightInd/>
        <w:snapToGrid/>
        <w:spacing w:line="560" w:lineRule="exact"/>
        <w:jc w:val="left"/>
        <w:textAlignment w:val="auto"/>
        <w:rPr>
          <w:rFonts w:hint="eastAsia" w:ascii="宋体" w:hAnsi="宋体"/>
          <w:color w:val="000000"/>
          <w:sz w:val="24"/>
          <w:szCs w:val="24"/>
        </w:rPr>
      </w:pPr>
      <w:r>
        <w:rPr>
          <w:rFonts w:hint="eastAsia" w:ascii="宋体" w:hAnsi="宋体"/>
          <w:color w:val="000000"/>
          <w:sz w:val="24"/>
          <w:szCs w:val="24"/>
        </w:rPr>
        <w:t>致：</w:t>
      </w:r>
      <w:r>
        <w:rPr>
          <w:rFonts w:hint="eastAsia" w:ascii="宋体" w:hAnsi="宋体"/>
          <w:color w:val="000000"/>
          <w:sz w:val="24"/>
          <w:szCs w:val="24"/>
          <w:lang w:val="en-US" w:eastAsia="zh-CN"/>
        </w:rPr>
        <w:t>张家口霖辉物业管理集团有限公司</w:t>
      </w:r>
    </w:p>
    <w:p w14:paraId="67988703">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根据贵方</w:t>
      </w:r>
      <w:r>
        <w:rPr>
          <w:rFonts w:hint="eastAsia" w:ascii="宋体" w:hAnsi="宋体"/>
          <w:iCs/>
          <w:color w:val="000000"/>
          <w:sz w:val="24"/>
          <w:szCs w:val="24"/>
          <w:u w:val="single"/>
          <w:lang w:val="en-US" w:eastAsia="zh-CN"/>
        </w:rPr>
        <w:t>（项目名称）</w:t>
      </w:r>
      <w:r>
        <w:rPr>
          <w:rFonts w:hint="eastAsia" w:ascii="宋体" w:hAnsi="宋体"/>
          <w:color w:val="000000"/>
          <w:sz w:val="24"/>
          <w:szCs w:val="24"/>
        </w:rPr>
        <w:t>询比采购文件</w:t>
      </w:r>
      <w:r>
        <w:rPr>
          <w:rFonts w:hint="eastAsia" w:ascii="宋体" w:hAnsi="宋体"/>
          <w:color w:val="000000"/>
          <w:sz w:val="24"/>
          <w:szCs w:val="24"/>
          <w:u w:val="single"/>
        </w:rPr>
        <w:t>（项目编号：）</w:t>
      </w:r>
      <w:r>
        <w:rPr>
          <w:rFonts w:hint="eastAsia" w:ascii="宋体" w:hAnsi="宋体"/>
          <w:color w:val="000000"/>
          <w:sz w:val="24"/>
          <w:szCs w:val="24"/>
        </w:rPr>
        <w:t>，正式授权下述签字人</w:t>
      </w:r>
      <w:r>
        <w:rPr>
          <w:rFonts w:hint="eastAsia" w:ascii="宋体" w:hAnsi="宋体"/>
          <w:color w:val="000000"/>
          <w:sz w:val="24"/>
          <w:szCs w:val="24"/>
          <w:u w:val="single"/>
        </w:rPr>
        <w:t>(姓名和职务)</w:t>
      </w:r>
      <w:r>
        <w:rPr>
          <w:rFonts w:hint="eastAsia" w:ascii="宋体" w:hAnsi="宋体"/>
          <w:color w:val="000000"/>
          <w:sz w:val="24"/>
          <w:szCs w:val="24"/>
        </w:rPr>
        <w:t>代表供应商</w:t>
      </w:r>
      <w:r>
        <w:rPr>
          <w:rFonts w:hint="eastAsia" w:ascii="宋体" w:hAnsi="宋体"/>
          <w:color w:val="000000"/>
          <w:sz w:val="24"/>
          <w:szCs w:val="24"/>
          <w:u w:val="single"/>
        </w:rPr>
        <w:t>(供应商的名称)</w:t>
      </w:r>
      <w:r>
        <w:rPr>
          <w:rFonts w:hint="eastAsia" w:ascii="宋体" w:hAnsi="宋体"/>
          <w:color w:val="000000"/>
          <w:sz w:val="24"/>
          <w:szCs w:val="24"/>
        </w:rPr>
        <w:t>,提交询比采购投标文件。</w:t>
      </w:r>
    </w:p>
    <w:p w14:paraId="7B3D9B25">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据此函，签字人宣布同意如下：</w:t>
      </w:r>
    </w:p>
    <w:p w14:paraId="12A02A08">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（1）按询比采购文件规定，</w:t>
      </w:r>
      <w:r>
        <w:rPr>
          <w:rFonts w:hint="eastAsia" w:ascii="宋体" w:hAnsi="宋体"/>
          <w:color w:val="000000"/>
          <w:sz w:val="24"/>
          <w:szCs w:val="24"/>
          <w:highlight w:val="none"/>
          <w:u w:val="single"/>
        </w:rPr>
        <w:t>(供应商的名称</w:t>
      </w:r>
      <w:r>
        <w:rPr>
          <w:rFonts w:hint="eastAsia" w:ascii="宋体" w:hAnsi="宋体"/>
          <w:color w:val="000000"/>
          <w:sz w:val="24"/>
          <w:szCs w:val="24"/>
          <w:highlight w:val="none"/>
          <w:u w:val="single"/>
          <w:lang w:eastAsia="zh-CN"/>
        </w:rPr>
        <w:t>）</w:t>
      </w:r>
      <w:r>
        <w:rPr>
          <w:rFonts w:hint="eastAsia" w:ascii="宋体" w:hAnsi="宋体"/>
          <w:color w:val="000000"/>
          <w:sz w:val="24"/>
          <w:szCs w:val="24"/>
        </w:rPr>
        <w:t>投标报价为：</w:t>
      </w:r>
    </w:p>
    <w:p w14:paraId="5F0E7EC8">
      <w:pPr>
        <w:pageBreakBefore w:val="0"/>
        <w:kinsoku/>
        <w:wordWrap/>
        <w:overflowPunct/>
        <w:topLinePunct w:val="0"/>
        <w:autoSpaceDE/>
        <w:autoSpaceDN/>
        <w:bidi w:val="0"/>
        <w:adjustRightInd/>
        <w:snapToGrid/>
        <w:spacing w:line="560" w:lineRule="exact"/>
        <w:ind w:firstLine="600" w:firstLineChars="250"/>
        <w:jc w:val="left"/>
        <w:textAlignment w:val="auto"/>
        <w:rPr>
          <w:rFonts w:hint="eastAsia" w:ascii="宋体" w:hAnsi="宋体" w:eastAsia="宋体"/>
          <w:color w:val="000000"/>
          <w:sz w:val="24"/>
          <w:szCs w:val="24"/>
          <w:lang w:eastAsia="zh-CN"/>
        </w:rPr>
      </w:pPr>
      <w:r>
        <w:rPr>
          <w:rFonts w:hint="eastAsia" w:ascii="宋体" w:hAnsi="宋体"/>
          <w:color w:val="000000"/>
          <w:sz w:val="24"/>
          <w:szCs w:val="24"/>
        </w:rPr>
        <w:t>人民币（小写）元；人民币（大写）：元；</w:t>
      </w:r>
    </w:p>
    <w:p w14:paraId="5681BD5F">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（2）我们承担询比采购文件规定的责任和义务；</w:t>
      </w:r>
    </w:p>
    <w:p w14:paraId="3CD7B348">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（3）我们已详细阅读并理解全部询比采购文件，及其有效补充文件，我们知道必须放弃提出含糊不清或误解的权利；</w:t>
      </w:r>
    </w:p>
    <w:p w14:paraId="3FA725B6">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（4）我们同意从规定的开标日期起遵循本投标书，并在规定的投标有效期满之前均具有约束力；</w:t>
      </w:r>
    </w:p>
    <w:p w14:paraId="15D4B558">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（5）如果在开标后规定的投标有效期内撤回投标或者有其他违约行为，我们的投标保证金可被全部没收；</w:t>
      </w:r>
    </w:p>
    <w:p w14:paraId="78844794">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（6）同意提供贵方可能另外要求的与本次招标有关的任何数据或资料；</w:t>
      </w:r>
    </w:p>
    <w:p w14:paraId="2089182B">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（7）我们完全理解贵方不一定要接受最低报价的投标；</w:t>
      </w:r>
    </w:p>
    <w:p w14:paraId="046E9466">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（8）一旦我方中标，我们将根据询比采购文件的规定，严格按照《中华人民共和国政府采购法》、《中华人民共和国民法典》的规定履行自己的责任和义务；</w:t>
      </w:r>
    </w:p>
    <w:p w14:paraId="59D8A6A8">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（9）遵守询比采购文件中要求的收费项目和标准；</w:t>
      </w:r>
    </w:p>
    <w:p w14:paraId="5AA8DD5E">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（10）与本次投标有关的联系方式为：</w:t>
      </w:r>
    </w:p>
    <w:p w14:paraId="6E1ABD40">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地址：邮政编码：</w:t>
      </w:r>
    </w:p>
    <w:p w14:paraId="37D3F19E">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联系人：电话：传真：</w:t>
      </w:r>
    </w:p>
    <w:p w14:paraId="03297031">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法定代表人（签字）：</w:t>
      </w:r>
    </w:p>
    <w:p w14:paraId="4896963A">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供应商全称（公章）：</w:t>
      </w:r>
    </w:p>
    <w:p w14:paraId="37478F72">
      <w:pPr>
        <w:pageBreakBefore w:val="0"/>
        <w:kinsoku/>
        <w:wordWrap/>
        <w:overflowPunct/>
        <w:topLinePunct w:val="0"/>
        <w:autoSpaceDE/>
        <w:autoSpaceDN/>
        <w:bidi w:val="0"/>
        <w:adjustRightInd/>
        <w:snapToGrid/>
        <w:spacing w:line="560" w:lineRule="exact"/>
        <w:ind w:firstLine="5760" w:firstLineChars="2400"/>
        <w:jc w:val="left"/>
        <w:textAlignment w:val="auto"/>
        <w:rPr>
          <w:rFonts w:hint="eastAsia"/>
          <w:color w:val="000000"/>
          <w:sz w:val="24"/>
          <w:szCs w:val="24"/>
        </w:rPr>
      </w:pPr>
      <w:r>
        <w:rPr>
          <w:rFonts w:hint="eastAsia"/>
          <w:color w:val="000000"/>
          <w:sz w:val="24"/>
          <w:szCs w:val="24"/>
        </w:rPr>
        <w:t>年月日</w:t>
      </w:r>
    </w:p>
    <w:p w14:paraId="0507F697">
      <w:pPr>
        <w:pageBreakBefore w:val="0"/>
        <w:kinsoku/>
        <w:wordWrap/>
        <w:overflowPunct/>
        <w:topLinePunct w:val="0"/>
        <w:autoSpaceDE/>
        <w:autoSpaceDN/>
        <w:bidi w:val="0"/>
        <w:adjustRightInd/>
        <w:snapToGrid/>
        <w:spacing w:line="560" w:lineRule="exact"/>
        <w:textAlignment w:val="auto"/>
        <w:outlineLvl w:val="9"/>
        <w:rPr>
          <w:rFonts w:hint="eastAsia"/>
        </w:rPr>
      </w:pPr>
    </w:p>
    <w:p w14:paraId="1098586B">
      <w:pPr>
        <w:rPr>
          <w:rFonts w:hint="eastAsia"/>
          <w:color w:val="000000"/>
        </w:rPr>
      </w:pPr>
      <w:bookmarkStart w:id="47" w:name="_Toc28617"/>
      <w:r>
        <w:rPr>
          <w:rFonts w:hint="eastAsia"/>
          <w:color w:val="000000"/>
        </w:rPr>
        <w:br w:type="page"/>
      </w:r>
    </w:p>
    <w:p w14:paraId="1D253A0D">
      <w:pPr>
        <w:pStyle w:val="3"/>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投标报价表格式</w:t>
      </w:r>
      <w:bookmarkEnd w:id="47"/>
    </w:p>
    <w:p w14:paraId="30D92A12">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p>
    <w:p w14:paraId="0A7F11C0">
      <w:pPr>
        <w:pageBreakBefore w:val="0"/>
        <w:widowControl/>
        <w:kinsoku/>
        <w:wordWrap/>
        <w:overflowPunct/>
        <w:topLinePunct w:val="0"/>
        <w:autoSpaceDE/>
        <w:autoSpaceDN/>
        <w:bidi w:val="0"/>
        <w:adjustRightInd/>
        <w:snapToGrid/>
        <w:spacing w:line="560" w:lineRule="exact"/>
        <w:ind w:firstLine="437"/>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kern w:val="0"/>
          <w:sz w:val="24"/>
          <w:szCs w:val="24"/>
          <w:lang w:bidi="ar"/>
        </w:rPr>
        <w:t>投标报价表</w:t>
      </w:r>
    </w:p>
    <w:p w14:paraId="16053D03">
      <w:pPr>
        <w:pageBreakBefore w:val="0"/>
        <w:widowControl/>
        <w:kinsoku/>
        <w:wordWrap/>
        <w:overflowPunct/>
        <w:topLinePunct w:val="0"/>
        <w:autoSpaceDE/>
        <w:autoSpaceDN/>
        <w:bidi w:val="0"/>
        <w:adjustRightInd/>
        <w:snapToGrid/>
        <w:spacing w:line="560" w:lineRule="exact"/>
        <w:ind w:firstLine="437"/>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金额单位：元</w:t>
      </w:r>
    </w:p>
    <w:tbl>
      <w:tblPr>
        <w:tblStyle w:val="15"/>
        <w:tblW w:w="88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1230"/>
        <w:gridCol w:w="1621"/>
        <w:gridCol w:w="1064"/>
        <w:gridCol w:w="1204"/>
        <w:gridCol w:w="1304"/>
        <w:gridCol w:w="1457"/>
      </w:tblGrid>
      <w:tr w14:paraId="2F246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 w:type="dxa"/>
            <w:tcBorders>
              <w:top w:val="single" w:color="auto" w:sz="4" w:space="0"/>
              <w:left w:val="single" w:color="auto" w:sz="4" w:space="0"/>
              <w:bottom w:val="single" w:color="auto" w:sz="4" w:space="0"/>
              <w:right w:val="single" w:color="auto" w:sz="4" w:space="0"/>
            </w:tcBorders>
            <w:noWrap w:val="0"/>
            <w:vAlign w:val="center"/>
          </w:tcPr>
          <w:p w14:paraId="7FEFF44C">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序号</w:t>
            </w:r>
          </w:p>
        </w:tc>
        <w:tc>
          <w:tcPr>
            <w:tcW w:w="2851" w:type="dxa"/>
            <w:gridSpan w:val="2"/>
            <w:tcBorders>
              <w:top w:val="single" w:color="auto" w:sz="4" w:space="0"/>
              <w:left w:val="single" w:color="auto" w:sz="4" w:space="0"/>
              <w:bottom w:val="single" w:color="auto" w:sz="4" w:space="0"/>
              <w:right w:val="single" w:color="auto" w:sz="4" w:space="0"/>
            </w:tcBorders>
            <w:noWrap w:val="0"/>
            <w:vAlign w:val="center"/>
          </w:tcPr>
          <w:p w14:paraId="1C71C3B2">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0"/>
                <w:sz w:val="24"/>
                <w:szCs w:val="24"/>
                <w:lang w:bidi="ar"/>
              </w:rPr>
              <w:t>名称</w:t>
            </w:r>
          </w:p>
        </w:tc>
        <w:tc>
          <w:tcPr>
            <w:tcW w:w="1064" w:type="dxa"/>
            <w:tcBorders>
              <w:top w:val="single" w:color="auto" w:sz="4" w:space="0"/>
              <w:left w:val="single" w:color="auto" w:sz="4" w:space="0"/>
              <w:bottom w:val="single" w:color="auto" w:sz="4" w:space="0"/>
              <w:right w:val="single" w:color="auto" w:sz="4" w:space="0"/>
            </w:tcBorders>
            <w:noWrap w:val="0"/>
            <w:vAlign w:val="center"/>
          </w:tcPr>
          <w:p w14:paraId="14E81CEF">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数量</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355D3FEF">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单价</w:t>
            </w:r>
          </w:p>
        </w:tc>
        <w:tc>
          <w:tcPr>
            <w:tcW w:w="1304" w:type="dxa"/>
            <w:tcBorders>
              <w:top w:val="single" w:color="auto" w:sz="4" w:space="0"/>
              <w:left w:val="single" w:color="auto" w:sz="4" w:space="0"/>
              <w:bottom w:val="single" w:color="auto" w:sz="4" w:space="0"/>
              <w:right w:val="single" w:color="auto" w:sz="4" w:space="0"/>
            </w:tcBorders>
            <w:noWrap w:val="0"/>
            <w:vAlign w:val="center"/>
          </w:tcPr>
          <w:p w14:paraId="2B8DFCBE">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合价</w:t>
            </w:r>
          </w:p>
        </w:tc>
        <w:tc>
          <w:tcPr>
            <w:tcW w:w="1457" w:type="dxa"/>
            <w:tcBorders>
              <w:top w:val="single" w:color="auto" w:sz="4" w:space="0"/>
              <w:left w:val="single" w:color="auto" w:sz="4" w:space="0"/>
              <w:bottom w:val="single" w:color="auto" w:sz="4" w:space="0"/>
              <w:right w:val="single" w:color="auto" w:sz="4" w:space="0"/>
            </w:tcBorders>
            <w:noWrap w:val="0"/>
            <w:vAlign w:val="center"/>
          </w:tcPr>
          <w:p w14:paraId="5D805B63">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备注</w:t>
            </w:r>
          </w:p>
        </w:tc>
      </w:tr>
      <w:tr w14:paraId="40D6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 w:type="dxa"/>
            <w:tcBorders>
              <w:top w:val="single" w:color="auto" w:sz="4" w:space="0"/>
              <w:left w:val="single" w:color="auto" w:sz="4" w:space="0"/>
              <w:bottom w:val="single" w:color="auto" w:sz="4" w:space="0"/>
              <w:right w:val="single" w:color="auto" w:sz="4" w:space="0"/>
            </w:tcBorders>
            <w:noWrap w:val="0"/>
            <w:vAlign w:val="center"/>
          </w:tcPr>
          <w:p w14:paraId="15E92F1B">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2851" w:type="dxa"/>
            <w:gridSpan w:val="2"/>
            <w:tcBorders>
              <w:top w:val="single" w:color="auto" w:sz="4" w:space="0"/>
              <w:left w:val="single" w:color="auto" w:sz="4" w:space="0"/>
              <w:bottom w:val="single" w:color="auto" w:sz="4" w:space="0"/>
              <w:right w:val="single" w:color="auto" w:sz="4" w:space="0"/>
            </w:tcBorders>
            <w:noWrap w:val="0"/>
            <w:vAlign w:val="center"/>
          </w:tcPr>
          <w:p w14:paraId="4F9409F7">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5EADF5CB">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204" w:type="dxa"/>
            <w:tcBorders>
              <w:top w:val="single" w:color="auto" w:sz="4" w:space="0"/>
              <w:left w:val="single" w:color="auto" w:sz="4" w:space="0"/>
              <w:bottom w:val="single" w:color="auto" w:sz="4" w:space="0"/>
              <w:right w:val="single" w:color="auto" w:sz="4" w:space="0"/>
            </w:tcBorders>
            <w:noWrap w:val="0"/>
            <w:vAlign w:val="center"/>
          </w:tcPr>
          <w:p w14:paraId="27FB3E6C">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14:paraId="055174C6">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216C3248">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r>
      <w:tr w14:paraId="2DDBB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 w:type="dxa"/>
            <w:tcBorders>
              <w:top w:val="single" w:color="auto" w:sz="4" w:space="0"/>
              <w:left w:val="single" w:color="auto" w:sz="4" w:space="0"/>
              <w:bottom w:val="single" w:color="auto" w:sz="4" w:space="0"/>
              <w:right w:val="single" w:color="auto" w:sz="4" w:space="0"/>
            </w:tcBorders>
            <w:noWrap w:val="0"/>
            <w:vAlign w:val="center"/>
          </w:tcPr>
          <w:p w14:paraId="33A38468">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2851" w:type="dxa"/>
            <w:gridSpan w:val="2"/>
            <w:tcBorders>
              <w:top w:val="single" w:color="auto" w:sz="4" w:space="0"/>
              <w:left w:val="single" w:color="auto" w:sz="4" w:space="0"/>
              <w:bottom w:val="single" w:color="auto" w:sz="4" w:space="0"/>
              <w:right w:val="single" w:color="auto" w:sz="4" w:space="0"/>
            </w:tcBorders>
            <w:noWrap w:val="0"/>
            <w:vAlign w:val="center"/>
          </w:tcPr>
          <w:p w14:paraId="177E125E">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5041AB13">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204" w:type="dxa"/>
            <w:tcBorders>
              <w:top w:val="single" w:color="auto" w:sz="4" w:space="0"/>
              <w:left w:val="single" w:color="auto" w:sz="4" w:space="0"/>
              <w:bottom w:val="single" w:color="auto" w:sz="4" w:space="0"/>
              <w:right w:val="single" w:color="auto" w:sz="4" w:space="0"/>
            </w:tcBorders>
            <w:noWrap w:val="0"/>
            <w:vAlign w:val="center"/>
          </w:tcPr>
          <w:p w14:paraId="791BBEFC">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14:paraId="2BA81E86">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481E750B">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r>
      <w:tr w14:paraId="5D14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 w:type="dxa"/>
            <w:tcBorders>
              <w:top w:val="single" w:color="auto" w:sz="4" w:space="0"/>
              <w:left w:val="single" w:color="auto" w:sz="4" w:space="0"/>
              <w:bottom w:val="single" w:color="auto" w:sz="4" w:space="0"/>
              <w:right w:val="single" w:color="auto" w:sz="4" w:space="0"/>
            </w:tcBorders>
            <w:noWrap w:val="0"/>
            <w:vAlign w:val="center"/>
          </w:tcPr>
          <w:p w14:paraId="66B42166">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2851" w:type="dxa"/>
            <w:gridSpan w:val="2"/>
            <w:tcBorders>
              <w:top w:val="single" w:color="auto" w:sz="4" w:space="0"/>
              <w:left w:val="single" w:color="auto" w:sz="4" w:space="0"/>
              <w:bottom w:val="single" w:color="auto" w:sz="4" w:space="0"/>
              <w:right w:val="single" w:color="auto" w:sz="4" w:space="0"/>
            </w:tcBorders>
            <w:noWrap w:val="0"/>
            <w:vAlign w:val="center"/>
          </w:tcPr>
          <w:p w14:paraId="3CBE4C6C">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6447C462">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204" w:type="dxa"/>
            <w:tcBorders>
              <w:top w:val="single" w:color="auto" w:sz="4" w:space="0"/>
              <w:left w:val="single" w:color="auto" w:sz="4" w:space="0"/>
              <w:bottom w:val="single" w:color="auto" w:sz="4" w:space="0"/>
              <w:right w:val="single" w:color="auto" w:sz="4" w:space="0"/>
            </w:tcBorders>
            <w:noWrap w:val="0"/>
            <w:vAlign w:val="center"/>
          </w:tcPr>
          <w:p w14:paraId="1BE8202D">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14:paraId="6B101BE6">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6F03FE97">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r>
      <w:tr w14:paraId="512CD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 w:type="dxa"/>
            <w:tcBorders>
              <w:top w:val="single" w:color="auto" w:sz="4" w:space="0"/>
              <w:left w:val="single" w:color="auto" w:sz="4" w:space="0"/>
              <w:bottom w:val="single" w:color="auto" w:sz="4" w:space="0"/>
              <w:right w:val="single" w:color="auto" w:sz="4" w:space="0"/>
            </w:tcBorders>
            <w:noWrap w:val="0"/>
            <w:vAlign w:val="center"/>
          </w:tcPr>
          <w:p w14:paraId="4A8C51D3">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2851" w:type="dxa"/>
            <w:gridSpan w:val="2"/>
            <w:tcBorders>
              <w:top w:val="single" w:color="auto" w:sz="4" w:space="0"/>
              <w:left w:val="single" w:color="auto" w:sz="4" w:space="0"/>
              <w:bottom w:val="single" w:color="auto" w:sz="4" w:space="0"/>
              <w:right w:val="single" w:color="auto" w:sz="4" w:space="0"/>
            </w:tcBorders>
            <w:noWrap w:val="0"/>
            <w:vAlign w:val="center"/>
          </w:tcPr>
          <w:p w14:paraId="5B0E36DD">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0091AA99">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204" w:type="dxa"/>
            <w:tcBorders>
              <w:top w:val="single" w:color="auto" w:sz="4" w:space="0"/>
              <w:left w:val="single" w:color="auto" w:sz="4" w:space="0"/>
              <w:bottom w:val="single" w:color="auto" w:sz="4" w:space="0"/>
              <w:right w:val="single" w:color="auto" w:sz="4" w:space="0"/>
            </w:tcBorders>
            <w:noWrap w:val="0"/>
            <w:vAlign w:val="center"/>
          </w:tcPr>
          <w:p w14:paraId="321D2254">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14:paraId="2762D28F">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450D7A5B">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r>
      <w:tr w14:paraId="45EC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 w:type="dxa"/>
            <w:tcBorders>
              <w:top w:val="single" w:color="auto" w:sz="4" w:space="0"/>
              <w:left w:val="single" w:color="auto" w:sz="4" w:space="0"/>
              <w:bottom w:val="single" w:color="auto" w:sz="4" w:space="0"/>
              <w:right w:val="single" w:color="auto" w:sz="4" w:space="0"/>
            </w:tcBorders>
            <w:noWrap w:val="0"/>
            <w:vAlign w:val="center"/>
          </w:tcPr>
          <w:p w14:paraId="149AB25A">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EDCC2F2">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服务周期</w:t>
            </w:r>
          </w:p>
        </w:tc>
        <w:tc>
          <w:tcPr>
            <w:tcW w:w="6650" w:type="dxa"/>
            <w:gridSpan w:val="5"/>
            <w:tcBorders>
              <w:top w:val="single" w:color="auto" w:sz="4" w:space="0"/>
              <w:left w:val="single" w:color="auto" w:sz="4" w:space="0"/>
              <w:bottom w:val="single" w:color="auto" w:sz="4" w:space="0"/>
              <w:right w:val="single" w:color="auto" w:sz="4" w:space="0"/>
            </w:tcBorders>
            <w:noWrap w:val="0"/>
            <w:vAlign w:val="center"/>
          </w:tcPr>
          <w:p w14:paraId="079D37E3">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r>
      <w:tr w14:paraId="2E94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154"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3FE2FC2B">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kern w:val="0"/>
                <w:sz w:val="24"/>
                <w:szCs w:val="24"/>
                <w:lang w:bidi="ar"/>
              </w:rPr>
              <w:t>合计</w:t>
            </w:r>
          </w:p>
        </w:tc>
        <w:tc>
          <w:tcPr>
            <w:tcW w:w="6650" w:type="dxa"/>
            <w:gridSpan w:val="5"/>
            <w:tcBorders>
              <w:top w:val="single" w:color="auto" w:sz="4" w:space="0"/>
              <w:left w:val="single" w:color="auto" w:sz="4" w:space="0"/>
              <w:bottom w:val="single" w:color="auto" w:sz="4" w:space="0"/>
              <w:right w:val="single" w:color="auto" w:sz="4" w:space="0"/>
            </w:tcBorders>
            <w:noWrap w:val="0"/>
            <w:vAlign w:val="center"/>
          </w:tcPr>
          <w:p w14:paraId="7ED6B92A">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kern w:val="0"/>
                <w:sz w:val="24"/>
                <w:szCs w:val="24"/>
                <w:lang w:bidi="ar"/>
              </w:rPr>
            </w:pPr>
          </w:p>
        </w:tc>
      </w:tr>
      <w:tr w14:paraId="4958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154"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432222B">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p>
        </w:tc>
        <w:tc>
          <w:tcPr>
            <w:tcW w:w="6650" w:type="dxa"/>
            <w:gridSpan w:val="5"/>
            <w:tcBorders>
              <w:top w:val="single" w:color="auto" w:sz="4" w:space="0"/>
              <w:left w:val="single" w:color="auto" w:sz="4" w:space="0"/>
              <w:bottom w:val="single" w:color="auto" w:sz="4" w:space="0"/>
              <w:right w:val="single" w:color="auto" w:sz="4" w:space="0"/>
            </w:tcBorders>
            <w:noWrap w:val="0"/>
            <w:vAlign w:val="center"/>
          </w:tcPr>
          <w:p w14:paraId="19CD6335">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kern w:val="0"/>
                <w:sz w:val="24"/>
                <w:szCs w:val="24"/>
                <w:lang w:bidi="ar"/>
              </w:rPr>
            </w:pPr>
          </w:p>
        </w:tc>
      </w:tr>
    </w:tbl>
    <w:p w14:paraId="587B49C9">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注：</w:t>
      </w:r>
    </w:p>
    <w:p w14:paraId="670AA34F">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1、供应商应当按表中规定格式完整、清晰、正确填写投报产品的所有内容。</w:t>
      </w:r>
    </w:p>
    <w:p w14:paraId="15E3C43C">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2、投标报价表中不得填报有选择性报价方案，供应商对每项产品仅接受一个价格，此报价为最终报价。该表中的报价应与投标函中的报价完全一致,否则为无效报价。</w:t>
      </w:r>
    </w:p>
    <w:p w14:paraId="566E3FA3">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3、单价和总价均应包括全部货物费、包装费、装卸费、运输等费用，以及已支付或将支付的营业税和其它税费。</w:t>
      </w:r>
    </w:p>
    <w:p w14:paraId="125AEEE9">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4、价格合计数与投标函总价数一致。</w:t>
      </w:r>
    </w:p>
    <w:p w14:paraId="0C547331">
      <w:pPr>
        <w:pageBreakBefore w:val="0"/>
        <w:widowControl/>
        <w:kinsoku/>
        <w:wordWrap/>
        <w:overflowPunct/>
        <w:topLinePunct w:val="0"/>
        <w:bidi w:val="0"/>
        <w:spacing w:line="560" w:lineRule="exact"/>
        <w:ind w:firstLine="437"/>
        <w:jc w:val="left"/>
        <w:textAlignment w:val="auto"/>
        <w:rPr>
          <w:rFonts w:hint="eastAsia" w:asciiTheme="minorEastAsia" w:hAnsiTheme="minorEastAsia" w:eastAsiaTheme="minorEastAsia" w:cstheme="minorEastAsia"/>
          <w:sz w:val="24"/>
          <w:szCs w:val="24"/>
        </w:rPr>
      </w:pPr>
      <w:bookmarkStart w:id="48" w:name="_Toc8958"/>
      <w:bookmarkStart w:id="49" w:name="_Toc498612957"/>
      <w:bookmarkStart w:id="50" w:name="_Toc11035"/>
      <w:bookmarkStart w:id="51" w:name="_Toc259996721"/>
      <w:bookmarkStart w:id="52" w:name="_Toc16"/>
      <w:bookmarkStart w:id="53" w:name="_Toc454178787"/>
      <w:bookmarkStart w:id="54" w:name="_Toc30357"/>
      <w:bookmarkStart w:id="55" w:name="_Toc454176467"/>
      <w:r>
        <w:rPr>
          <w:rFonts w:hint="eastAsia" w:asciiTheme="minorEastAsia" w:hAnsiTheme="minorEastAsia" w:eastAsiaTheme="minorEastAsia" w:cstheme="minorEastAsia"/>
          <w:kern w:val="0"/>
          <w:sz w:val="24"/>
          <w:szCs w:val="24"/>
          <w:lang w:bidi="ar"/>
        </w:rPr>
        <w:t>投标人：</w:t>
      </w:r>
      <w:r>
        <w:rPr>
          <w:rFonts w:hint="eastAsia" w:asciiTheme="minorEastAsia" w:hAnsiTheme="minorEastAsia" w:eastAsiaTheme="minorEastAsia" w:cstheme="minorEastAsia"/>
          <w:kern w:val="0"/>
          <w:sz w:val="24"/>
          <w:szCs w:val="24"/>
          <w:lang w:val="en-US" w:eastAsia="zh-CN" w:bidi="ar"/>
        </w:rPr>
        <w:t xml:space="preserve">                             </w:t>
      </w:r>
      <w:r>
        <w:rPr>
          <w:rFonts w:hint="eastAsia" w:asciiTheme="minorEastAsia" w:hAnsiTheme="minorEastAsia" w:eastAsiaTheme="minorEastAsia" w:cstheme="minorEastAsia"/>
          <w:kern w:val="0"/>
          <w:sz w:val="24"/>
          <w:szCs w:val="24"/>
          <w:lang w:bidi="ar"/>
        </w:rPr>
        <w:t>法定代表人或其授权委托人：</w:t>
      </w:r>
    </w:p>
    <w:p w14:paraId="771D9217">
      <w:pPr>
        <w:pageBreakBefore w:val="0"/>
        <w:widowControl/>
        <w:kinsoku/>
        <w:wordWrap/>
        <w:overflowPunct/>
        <w:topLinePunct w:val="0"/>
        <w:bidi w:val="0"/>
        <w:spacing w:line="560" w:lineRule="exact"/>
        <w:ind w:firstLine="437"/>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（公章）</w:t>
      </w:r>
      <w:r>
        <w:rPr>
          <w:rFonts w:hint="eastAsia" w:asciiTheme="minorEastAsia" w:hAnsiTheme="minorEastAsia" w:eastAsiaTheme="minorEastAsia" w:cstheme="minorEastAsia"/>
          <w:kern w:val="0"/>
          <w:sz w:val="24"/>
          <w:szCs w:val="24"/>
          <w:lang w:val="en-US" w:eastAsia="zh-CN" w:bidi="ar"/>
        </w:rPr>
        <w:t xml:space="preserve">                             </w:t>
      </w:r>
      <w:r>
        <w:rPr>
          <w:rFonts w:hint="eastAsia" w:asciiTheme="minorEastAsia" w:hAnsiTheme="minorEastAsia" w:eastAsiaTheme="minorEastAsia" w:cstheme="minorEastAsia"/>
          <w:kern w:val="0"/>
          <w:sz w:val="24"/>
          <w:szCs w:val="24"/>
          <w:lang w:bidi="ar"/>
        </w:rPr>
        <w:t>（签字或盖章）</w:t>
      </w:r>
    </w:p>
    <w:p w14:paraId="0CDC36E4">
      <w:pPr>
        <w:pageBreakBefore w:val="0"/>
        <w:widowControl/>
        <w:kinsoku/>
        <w:wordWrap/>
        <w:overflowPunct/>
        <w:topLinePunct w:val="0"/>
        <w:bidi w:val="0"/>
        <w:spacing w:line="560" w:lineRule="exact"/>
        <w:ind w:firstLine="437"/>
        <w:jc w:val="left"/>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kern w:val="0"/>
          <w:sz w:val="24"/>
          <w:szCs w:val="24"/>
          <w:lang w:bidi="ar"/>
        </w:rPr>
        <w:t>年月日</w:t>
      </w:r>
    </w:p>
    <w:p w14:paraId="0E3EFD63">
      <w:pP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br w:type="page"/>
      </w:r>
    </w:p>
    <w:p w14:paraId="2DE4322C">
      <w:pPr>
        <w:pStyle w:val="3"/>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服务要求响应及偏离表格式</w:t>
      </w:r>
      <w:bookmarkEnd w:id="48"/>
      <w:bookmarkEnd w:id="49"/>
      <w:bookmarkEnd w:id="50"/>
      <w:bookmarkEnd w:id="51"/>
      <w:bookmarkEnd w:id="52"/>
      <w:bookmarkEnd w:id="53"/>
      <w:bookmarkEnd w:id="54"/>
      <w:bookmarkEnd w:id="55"/>
    </w:p>
    <w:p w14:paraId="62B73E6F">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p>
    <w:p w14:paraId="27EE9EF8">
      <w:pPr>
        <w:pageBreakBefore w:val="0"/>
        <w:widowControl/>
        <w:kinsoku/>
        <w:wordWrap/>
        <w:overflowPunct/>
        <w:topLinePunct w:val="0"/>
        <w:autoSpaceDE/>
        <w:autoSpaceDN/>
        <w:bidi w:val="0"/>
        <w:adjustRightInd/>
        <w:snapToGrid/>
        <w:spacing w:line="560" w:lineRule="exact"/>
        <w:ind w:firstLine="437"/>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kern w:val="0"/>
          <w:sz w:val="24"/>
          <w:szCs w:val="24"/>
          <w:lang w:bidi="ar"/>
        </w:rPr>
        <w:t>服务要求响应及偏离表</w:t>
      </w:r>
    </w:p>
    <w:p w14:paraId="3E5A7494">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bl>
      <w:tblPr>
        <w:tblStyle w:val="15"/>
        <w:tblpPr w:leftFromText="180" w:rightFromText="180" w:vertAnchor="text" w:horzAnchor="margin" w:tblpXSpec="center" w:tblpY="64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8"/>
        <w:gridCol w:w="2033"/>
        <w:gridCol w:w="1580"/>
        <w:gridCol w:w="3390"/>
        <w:gridCol w:w="1129"/>
      </w:tblGrid>
      <w:tr w14:paraId="5B52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4" w:hRule="atLeast"/>
        </w:trPr>
        <w:tc>
          <w:tcPr>
            <w:tcW w:w="566" w:type="pct"/>
            <w:tcBorders>
              <w:top w:val="single" w:color="auto" w:sz="4" w:space="0"/>
              <w:left w:val="single" w:color="auto" w:sz="4" w:space="0"/>
              <w:bottom w:val="single" w:color="auto" w:sz="4" w:space="0"/>
              <w:right w:val="single" w:color="auto" w:sz="4" w:space="0"/>
            </w:tcBorders>
            <w:noWrap w:val="0"/>
            <w:vAlign w:val="center"/>
          </w:tcPr>
          <w:p w14:paraId="3331FBB6">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Cs/>
                <w:kern w:val="0"/>
                <w:sz w:val="24"/>
                <w:szCs w:val="24"/>
                <w:lang w:bidi="ar"/>
              </w:rPr>
            </w:pPr>
            <w:r>
              <w:rPr>
                <w:rFonts w:hint="eastAsia" w:asciiTheme="minorEastAsia" w:hAnsiTheme="minorEastAsia" w:eastAsiaTheme="minorEastAsia" w:cstheme="minorEastAsia"/>
                <w:bCs/>
                <w:kern w:val="0"/>
                <w:sz w:val="24"/>
                <w:szCs w:val="24"/>
                <w:lang w:bidi="ar"/>
              </w:rPr>
              <w:t>序号</w:t>
            </w:r>
          </w:p>
        </w:tc>
        <w:tc>
          <w:tcPr>
            <w:tcW w:w="1108" w:type="pct"/>
            <w:tcBorders>
              <w:top w:val="single" w:color="auto" w:sz="4" w:space="0"/>
              <w:left w:val="single" w:color="auto" w:sz="4" w:space="0"/>
              <w:bottom w:val="single" w:color="auto" w:sz="4" w:space="0"/>
              <w:right w:val="single" w:color="auto" w:sz="4" w:space="0"/>
            </w:tcBorders>
            <w:noWrap w:val="0"/>
            <w:vAlign w:val="center"/>
          </w:tcPr>
          <w:p w14:paraId="17C9B20E">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招标服务要求</w:t>
            </w:r>
          </w:p>
        </w:tc>
        <w:tc>
          <w:tcPr>
            <w:tcW w:w="861" w:type="pct"/>
            <w:tcBorders>
              <w:top w:val="single" w:color="auto" w:sz="4" w:space="0"/>
              <w:left w:val="single" w:color="auto" w:sz="4" w:space="0"/>
              <w:bottom w:val="single" w:color="auto" w:sz="4" w:space="0"/>
              <w:right w:val="single" w:color="auto" w:sz="4" w:space="0"/>
            </w:tcBorders>
            <w:noWrap w:val="0"/>
            <w:vAlign w:val="center"/>
          </w:tcPr>
          <w:p w14:paraId="6B50D3E1">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投标服务</w:t>
            </w:r>
          </w:p>
        </w:tc>
        <w:tc>
          <w:tcPr>
            <w:tcW w:w="1847" w:type="pct"/>
            <w:tcBorders>
              <w:top w:val="single" w:color="auto" w:sz="4" w:space="0"/>
              <w:left w:val="single" w:color="auto" w:sz="4" w:space="0"/>
              <w:bottom w:val="single" w:color="auto" w:sz="4" w:space="0"/>
              <w:right w:val="single" w:color="auto" w:sz="4" w:space="0"/>
            </w:tcBorders>
            <w:noWrap w:val="0"/>
            <w:vAlign w:val="center"/>
          </w:tcPr>
          <w:p w14:paraId="0E40925A">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符合/正偏离/负偏离</w:t>
            </w:r>
          </w:p>
        </w:tc>
        <w:tc>
          <w:tcPr>
            <w:tcW w:w="615" w:type="pct"/>
            <w:tcBorders>
              <w:top w:val="single" w:color="auto" w:sz="4" w:space="0"/>
              <w:left w:val="single" w:color="auto" w:sz="4" w:space="0"/>
              <w:bottom w:val="single" w:color="auto" w:sz="4" w:space="0"/>
              <w:right w:val="single" w:color="auto" w:sz="4" w:space="0"/>
            </w:tcBorders>
            <w:noWrap w:val="0"/>
            <w:vAlign w:val="center"/>
          </w:tcPr>
          <w:p w14:paraId="145E9F96">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备注</w:t>
            </w:r>
          </w:p>
        </w:tc>
      </w:tr>
      <w:tr w14:paraId="609A3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66" w:type="pct"/>
            <w:tcBorders>
              <w:top w:val="single" w:color="auto" w:sz="4" w:space="0"/>
              <w:left w:val="single" w:color="auto" w:sz="4" w:space="0"/>
              <w:bottom w:val="single" w:color="auto" w:sz="4" w:space="0"/>
              <w:right w:val="single" w:color="auto" w:sz="4" w:space="0"/>
            </w:tcBorders>
            <w:noWrap w:val="0"/>
            <w:vAlign w:val="center"/>
          </w:tcPr>
          <w:p w14:paraId="42DA9205">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1</w:t>
            </w:r>
          </w:p>
        </w:tc>
        <w:tc>
          <w:tcPr>
            <w:tcW w:w="1108" w:type="pct"/>
            <w:tcBorders>
              <w:top w:val="single" w:color="auto" w:sz="4" w:space="0"/>
              <w:left w:val="single" w:color="auto" w:sz="4" w:space="0"/>
              <w:bottom w:val="single" w:color="auto" w:sz="4" w:space="0"/>
              <w:right w:val="single" w:color="auto" w:sz="4" w:space="0"/>
            </w:tcBorders>
            <w:noWrap w:val="0"/>
            <w:vAlign w:val="top"/>
          </w:tcPr>
          <w:p w14:paraId="725F5525">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861" w:type="pct"/>
            <w:tcBorders>
              <w:top w:val="single" w:color="auto" w:sz="4" w:space="0"/>
              <w:left w:val="single" w:color="auto" w:sz="4" w:space="0"/>
              <w:bottom w:val="single" w:color="auto" w:sz="4" w:space="0"/>
              <w:right w:val="single" w:color="auto" w:sz="4" w:space="0"/>
            </w:tcBorders>
            <w:noWrap w:val="0"/>
            <w:vAlign w:val="top"/>
          </w:tcPr>
          <w:p w14:paraId="6A5CBD9B">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1847" w:type="pct"/>
            <w:tcBorders>
              <w:top w:val="single" w:color="auto" w:sz="4" w:space="0"/>
              <w:left w:val="single" w:color="auto" w:sz="4" w:space="0"/>
              <w:bottom w:val="single" w:color="auto" w:sz="4" w:space="0"/>
              <w:right w:val="single" w:color="auto" w:sz="4" w:space="0"/>
            </w:tcBorders>
            <w:noWrap w:val="0"/>
            <w:vAlign w:val="top"/>
          </w:tcPr>
          <w:p w14:paraId="431ACCF7">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615" w:type="pct"/>
            <w:tcBorders>
              <w:top w:val="single" w:color="auto" w:sz="4" w:space="0"/>
              <w:left w:val="single" w:color="auto" w:sz="4" w:space="0"/>
              <w:bottom w:val="single" w:color="auto" w:sz="4" w:space="0"/>
              <w:right w:val="single" w:color="auto" w:sz="4" w:space="0"/>
            </w:tcBorders>
            <w:noWrap w:val="0"/>
            <w:vAlign w:val="top"/>
          </w:tcPr>
          <w:p w14:paraId="47FB2FD4">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r>
      <w:tr w14:paraId="7E141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trPr>
        <w:tc>
          <w:tcPr>
            <w:tcW w:w="566" w:type="pct"/>
            <w:tcBorders>
              <w:top w:val="single" w:color="auto" w:sz="4" w:space="0"/>
              <w:left w:val="single" w:color="auto" w:sz="4" w:space="0"/>
              <w:bottom w:val="single" w:color="auto" w:sz="4" w:space="0"/>
              <w:right w:val="single" w:color="auto" w:sz="4" w:space="0"/>
            </w:tcBorders>
            <w:noWrap w:val="0"/>
            <w:vAlign w:val="center"/>
          </w:tcPr>
          <w:p w14:paraId="3A07474D">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2</w:t>
            </w:r>
          </w:p>
        </w:tc>
        <w:tc>
          <w:tcPr>
            <w:tcW w:w="1108" w:type="pct"/>
            <w:tcBorders>
              <w:top w:val="single" w:color="auto" w:sz="4" w:space="0"/>
              <w:left w:val="single" w:color="auto" w:sz="4" w:space="0"/>
              <w:bottom w:val="single" w:color="auto" w:sz="4" w:space="0"/>
              <w:right w:val="single" w:color="auto" w:sz="4" w:space="0"/>
            </w:tcBorders>
            <w:noWrap w:val="0"/>
            <w:vAlign w:val="top"/>
          </w:tcPr>
          <w:p w14:paraId="2CF8F7E2">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861" w:type="pct"/>
            <w:tcBorders>
              <w:top w:val="single" w:color="auto" w:sz="4" w:space="0"/>
              <w:left w:val="single" w:color="auto" w:sz="4" w:space="0"/>
              <w:bottom w:val="single" w:color="auto" w:sz="4" w:space="0"/>
              <w:right w:val="single" w:color="auto" w:sz="4" w:space="0"/>
            </w:tcBorders>
            <w:noWrap w:val="0"/>
            <w:vAlign w:val="top"/>
          </w:tcPr>
          <w:p w14:paraId="6C9D88FF">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1847" w:type="pct"/>
            <w:tcBorders>
              <w:top w:val="single" w:color="auto" w:sz="4" w:space="0"/>
              <w:left w:val="single" w:color="auto" w:sz="4" w:space="0"/>
              <w:bottom w:val="single" w:color="auto" w:sz="4" w:space="0"/>
              <w:right w:val="single" w:color="auto" w:sz="4" w:space="0"/>
            </w:tcBorders>
            <w:noWrap w:val="0"/>
            <w:vAlign w:val="top"/>
          </w:tcPr>
          <w:p w14:paraId="74B9C51D">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615" w:type="pct"/>
            <w:tcBorders>
              <w:top w:val="single" w:color="auto" w:sz="4" w:space="0"/>
              <w:left w:val="single" w:color="auto" w:sz="4" w:space="0"/>
              <w:bottom w:val="single" w:color="auto" w:sz="4" w:space="0"/>
              <w:right w:val="single" w:color="auto" w:sz="4" w:space="0"/>
            </w:tcBorders>
            <w:noWrap w:val="0"/>
            <w:vAlign w:val="top"/>
          </w:tcPr>
          <w:p w14:paraId="19D98DF5">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r>
      <w:tr w14:paraId="3326C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trPr>
        <w:tc>
          <w:tcPr>
            <w:tcW w:w="566" w:type="pct"/>
            <w:tcBorders>
              <w:top w:val="single" w:color="auto" w:sz="4" w:space="0"/>
              <w:left w:val="single" w:color="auto" w:sz="4" w:space="0"/>
              <w:bottom w:val="single" w:color="auto" w:sz="4" w:space="0"/>
              <w:right w:val="single" w:color="auto" w:sz="4" w:space="0"/>
            </w:tcBorders>
            <w:noWrap w:val="0"/>
            <w:vAlign w:val="center"/>
          </w:tcPr>
          <w:p w14:paraId="42434A93">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3</w:t>
            </w:r>
          </w:p>
        </w:tc>
        <w:tc>
          <w:tcPr>
            <w:tcW w:w="1108" w:type="pct"/>
            <w:tcBorders>
              <w:top w:val="single" w:color="auto" w:sz="4" w:space="0"/>
              <w:left w:val="single" w:color="auto" w:sz="4" w:space="0"/>
              <w:bottom w:val="single" w:color="auto" w:sz="4" w:space="0"/>
              <w:right w:val="single" w:color="auto" w:sz="4" w:space="0"/>
            </w:tcBorders>
            <w:noWrap w:val="0"/>
            <w:vAlign w:val="top"/>
          </w:tcPr>
          <w:p w14:paraId="419EE7D2">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861" w:type="pct"/>
            <w:tcBorders>
              <w:top w:val="single" w:color="auto" w:sz="4" w:space="0"/>
              <w:left w:val="single" w:color="auto" w:sz="4" w:space="0"/>
              <w:bottom w:val="single" w:color="auto" w:sz="4" w:space="0"/>
              <w:right w:val="single" w:color="auto" w:sz="4" w:space="0"/>
            </w:tcBorders>
            <w:noWrap w:val="0"/>
            <w:vAlign w:val="top"/>
          </w:tcPr>
          <w:p w14:paraId="3D9748E8">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1847" w:type="pct"/>
            <w:tcBorders>
              <w:top w:val="single" w:color="auto" w:sz="4" w:space="0"/>
              <w:left w:val="single" w:color="auto" w:sz="4" w:space="0"/>
              <w:bottom w:val="single" w:color="auto" w:sz="4" w:space="0"/>
              <w:right w:val="single" w:color="auto" w:sz="4" w:space="0"/>
            </w:tcBorders>
            <w:noWrap w:val="0"/>
            <w:vAlign w:val="top"/>
          </w:tcPr>
          <w:p w14:paraId="15EB6B47">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615" w:type="pct"/>
            <w:tcBorders>
              <w:top w:val="single" w:color="auto" w:sz="4" w:space="0"/>
              <w:left w:val="single" w:color="auto" w:sz="4" w:space="0"/>
              <w:bottom w:val="single" w:color="auto" w:sz="4" w:space="0"/>
              <w:right w:val="single" w:color="auto" w:sz="4" w:space="0"/>
            </w:tcBorders>
            <w:noWrap w:val="0"/>
            <w:vAlign w:val="top"/>
          </w:tcPr>
          <w:p w14:paraId="14B7D5F7">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r>
      <w:tr w14:paraId="1BDCC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66" w:type="pct"/>
            <w:tcBorders>
              <w:top w:val="single" w:color="auto" w:sz="4" w:space="0"/>
              <w:left w:val="single" w:color="auto" w:sz="4" w:space="0"/>
              <w:bottom w:val="single" w:color="auto" w:sz="4" w:space="0"/>
              <w:right w:val="single" w:color="auto" w:sz="4" w:space="0"/>
            </w:tcBorders>
            <w:noWrap w:val="0"/>
            <w:vAlign w:val="center"/>
          </w:tcPr>
          <w:p w14:paraId="2C4BC40C">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bCs/>
                <w:sz w:val="24"/>
                <w:szCs w:val="24"/>
              </w:rPr>
            </w:pPr>
          </w:p>
        </w:tc>
        <w:tc>
          <w:tcPr>
            <w:tcW w:w="1108" w:type="pct"/>
            <w:tcBorders>
              <w:top w:val="single" w:color="auto" w:sz="4" w:space="0"/>
              <w:left w:val="single" w:color="auto" w:sz="4" w:space="0"/>
              <w:bottom w:val="single" w:color="auto" w:sz="4" w:space="0"/>
              <w:right w:val="single" w:color="auto" w:sz="4" w:space="0"/>
            </w:tcBorders>
            <w:noWrap w:val="0"/>
            <w:vAlign w:val="top"/>
          </w:tcPr>
          <w:p w14:paraId="1ECE807F">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861" w:type="pct"/>
            <w:tcBorders>
              <w:top w:val="single" w:color="auto" w:sz="4" w:space="0"/>
              <w:left w:val="single" w:color="auto" w:sz="4" w:space="0"/>
              <w:bottom w:val="single" w:color="auto" w:sz="4" w:space="0"/>
              <w:right w:val="single" w:color="auto" w:sz="4" w:space="0"/>
            </w:tcBorders>
            <w:noWrap w:val="0"/>
            <w:vAlign w:val="top"/>
          </w:tcPr>
          <w:p w14:paraId="338B78EF">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1847" w:type="pct"/>
            <w:tcBorders>
              <w:top w:val="single" w:color="auto" w:sz="4" w:space="0"/>
              <w:left w:val="single" w:color="auto" w:sz="4" w:space="0"/>
              <w:bottom w:val="single" w:color="auto" w:sz="4" w:space="0"/>
              <w:right w:val="single" w:color="auto" w:sz="4" w:space="0"/>
            </w:tcBorders>
            <w:noWrap w:val="0"/>
            <w:vAlign w:val="top"/>
          </w:tcPr>
          <w:p w14:paraId="771588B7">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615" w:type="pct"/>
            <w:tcBorders>
              <w:top w:val="single" w:color="auto" w:sz="4" w:space="0"/>
              <w:left w:val="single" w:color="auto" w:sz="4" w:space="0"/>
              <w:bottom w:val="single" w:color="auto" w:sz="4" w:space="0"/>
              <w:right w:val="single" w:color="auto" w:sz="4" w:space="0"/>
            </w:tcBorders>
            <w:noWrap w:val="0"/>
            <w:vAlign w:val="top"/>
          </w:tcPr>
          <w:p w14:paraId="1DC92AE1">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r>
      <w:tr w14:paraId="0C6D9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66" w:type="pct"/>
            <w:tcBorders>
              <w:top w:val="single" w:color="auto" w:sz="4" w:space="0"/>
              <w:left w:val="single" w:color="auto" w:sz="4" w:space="0"/>
              <w:bottom w:val="single" w:color="auto" w:sz="4" w:space="0"/>
              <w:right w:val="single" w:color="auto" w:sz="4" w:space="0"/>
            </w:tcBorders>
            <w:noWrap w:val="0"/>
            <w:vAlign w:val="center"/>
          </w:tcPr>
          <w:p w14:paraId="1C9908B9">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w:t>
            </w:r>
          </w:p>
        </w:tc>
        <w:tc>
          <w:tcPr>
            <w:tcW w:w="1108" w:type="pct"/>
            <w:tcBorders>
              <w:top w:val="single" w:color="auto" w:sz="4" w:space="0"/>
              <w:left w:val="single" w:color="auto" w:sz="4" w:space="0"/>
              <w:bottom w:val="single" w:color="auto" w:sz="4" w:space="0"/>
              <w:right w:val="single" w:color="auto" w:sz="4" w:space="0"/>
            </w:tcBorders>
            <w:noWrap w:val="0"/>
            <w:vAlign w:val="top"/>
          </w:tcPr>
          <w:p w14:paraId="00F40BA4">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w:t>
            </w:r>
          </w:p>
        </w:tc>
        <w:tc>
          <w:tcPr>
            <w:tcW w:w="861" w:type="pct"/>
            <w:tcBorders>
              <w:top w:val="single" w:color="auto" w:sz="4" w:space="0"/>
              <w:left w:val="single" w:color="auto" w:sz="4" w:space="0"/>
              <w:bottom w:val="single" w:color="auto" w:sz="4" w:space="0"/>
              <w:right w:val="single" w:color="auto" w:sz="4" w:space="0"/>
            </w:tcBorders>
            <w:noWrap w:val="0"/>
            <w:vAlign w:val="top"/>
          </w:tcPr>
          <w:p w14:paraId="2086C546">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w:t>
            </w:r>
          </w:p>
        </w:tc>
        <w:tc>
          <w:tcPr>
            <w:tcW w:w="1847" w:type="pct"/>
            <w:tcBorders>
              <w:top w:val="single" w:color="auto" w:sz="4" w:space="0"/>
              <w:left w:val="single" w:color="auto" w:sz="4" w:space="0"/>
              <w:bottom w:val="single" w:color="auto" w:sz="4" w:space="0"/>
              <w:right w:val="single" w:color="auto" w:sz="4" w:space="0"/>
            </w:tcBorders>
            <w:noWrap w:val="0"/>
            <w:vAlign w:val="top"/>
          </w:tcPr>
          <w:p w14:paraId="7648A860">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w:t>
            </w:r>
          </w:p>
        </w:tc>
        <w:tc>
          <w:tcPr>
            <w:tcW w:w="615" w:type="pct"/>
            <w:tcBorders>
              <w:top w:val="single" w:color="auto" w:sz="4" w:space="0"/>
              <w:left w:val="single" w:color="auto" w:sz="4" w:space="0"/>
              <w:bottom w:val="single" w:color="auto" w:sz="4" w:space="0"/>
              <w:right w:val="single" w:color="auto" w:sz="4" w:space="0"/>
            </w:tcBorders>
            <w:noWrap w:val="0"/>
            <w:vAlign w:val="top"/>
          </w:tcPr>
          <w:p w14:paraId="543F9E2B">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w:t>
            </w:r>
          </w:p>
        </w:tc>
      </w:tr>
    </w:tbl>
    <w:p w14:paraId="339FF893">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（由投标人据实提交）</w:t>
      </w:r>
    </w:p>
    <w:p w14:paraId="45A45BFE">
      <w:pPr>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bCs/>
          <w:sz w:val="24"/>
          <w:szCs w:val="24"/>
        </w:rPr>
      </w:pPr>
    </w:p>
    <w:p w14:paraId="041914D8">
      <w:pPr>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kern w:val="0"/>
          <w:sz w:val="24"/>
          <w:szCs w:val="24"/>
          <w:lang w:bidi="ar"/>
        </w:rPr>
        <w:t>法定代表人或其授权委托人（</w:t>
      </w:r>
      <w:r>
        <w:rPr>
          <w:rFonts w:hint="eastAsia" w:asciiTheme="minorEastAsia" w:hAnsiTheme="minorEastAsia" w:eastAsiaTheme="minorEastAsia" w:cstheme="minorEastAsia"/>
          <w:kern w:val="0"/>
          <w:sz w:val="24"/>
          <w:szCs w:val="24"/>
          <w:lang w:bidi="ar"/>
        </w:rPr>
        <w:t>签字或盖章</w:t>
      </w:r>
      <w:r>
        <w:rPr>
          <w:rFonts w:hint="eastAsia" w:asciiTheme="minorEastAsia" w:hAnsiTheme="minorEastAsia" w:eastAsiaTheme="minorEastAsia" w:cstheme="minorEastAsia"/>
          <w:bCs/>
          <w:kern w:val="0"/>
          <w:sz w:val="24"/>
          <w:szCs w:val="24"/>
          <w:lang w:bidi="ar"/>
        </w:rPr>
        <w:t>）：</w:t>
      </w:r>
    </w:p>
    <w:p w14:paraId="18FD5637">
      <w:pPr>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填写说明：</w:t>
      </w:r>
    </w:p>
    <w:p w14:paraId="629FBAB5">
      <w:pPr>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1、投标人应当根据询比采购文件</w:t>
      </w:r>
      <w:r>
        <w:rPr>
          <w:rFonts w:hint="eastAsia" w:asciiTheme="minorEastAsia" w:hAnsiTheme="minorEastAsia" w:eastAsiaTheme="minorEastAsia" w:cstheme="minorEastAsia"/>
          <w:sz w:val="24"/>
          <w:szCs w:val="24"/>
          <w:lang w:bidi="ar"/>
        </w:rPr>
        <w:t>技术规格及要求</w:t>
      </w:r>
      <w:r>
        <w:rPr>
          <w:rFonts w:hint="eastAsia" w:asciiTheme="minorEastAsia" w:hAnsiTheme="minorEastAsia" w:eastAsiaTheme="minorEastAsia" w:cstheme="minorEastAsia"/>
          <w:bCs/>
          <w:kern w:val="0"/>
          <w:sz w:val="24"/>
          <w:szCs w:val="24"/>
          <w:lang w:bidi="ar"/>
        </w:rPr>
        <w:t>各项需求的内容填报技术参数响应及偏离表。</w:t>
      </w:r>
    </w:p>
    <w:p w14:paraId="7278307D">
      <w:pPr>
        <w:pageBreakBefore w:val="0"/>
        <w:widowControl/>
        <w:kinsoku/>
        <w:wordWrap/>
        <w:overflowPunct/>
        <w:topLinePunct w:val="0"/>
        <w:autoSpaceDE/>
        <w:autoSpaceDN/>
        <w:bidi w:val="0"/>
        <w:adjustRightInd/>
        <w:snapToGrid/>
        <w:spacing w:line="560" w:lineRule="exact"/>
        <w:ind w:firstLine="482" w:firstLineChars="200"/>
        <w:jc w:val="left"/>
        <w:textAlignment w:val="auto"/>
        <w:rPr>
          <w:rFonts w:hint="eastAsia" w:asciiTheme="minorEastAsia" w:hAnsiTheme="minorEastAsia" w:eastAsiaTheme="minorEastAsia" w:cstheme="minorEastAsia"/>
          <w:b/>
          <w:kern w:val="0"/>
          <w:sz w:val="24"/>
          <w:szCs w:val="24"/>
          <w:lang w:bidi="ar"/>
        </w:rPr>
      </w:pPr>
      <w:r>
        <w:rPr>
          <w:rFonts w:hint="eastAsia" w:asciiTheme="minorEastAsia" w:hAnsiTheme="minorEastAsia" w:eastAsiaTheme="minorEastAsia" w:cstheme="minorEastAsia"/>
          <w:b/>
          <w:kern w:val="0"/>
          <w:sz w:val="24"/>
          <w:szCs w:val="24"/>
          <w:lang w:bidi="ar"/>
        </w:rPr>
        <w:t>2、投标人未提供该表或提供该表但注明技术参数响应有负偏离情况的，视为无效投标。</w:t>
      </w:r>
    </w:p>
    <w:p w14:paraId="5EF2F0DD">
      <w:pPr>
        <w:pStyle w:val="3"/>
        <w:pageBreakBefore w:val="0"/>
        <w:kinsoku/>
        <w:wordWrap/>
        <w:overflowPunct/>
        <w:topLinePunct w:val="0"/>
        <w:autoSpaceDE/>
        <w:autoSpaceDN/>
        <w:bidi w:val="0"/>
        <w:adjustRightInd/>
        <w:snapToGrid/>
        <w:spacing w:line="560" w:lineRule="exact"/>
        <w:textAlignment w:val="auto"/>
        <w:rPr>
          <w:rFonts w:hint="eastAsia"/>
          <w:color w:val="000000"/>
          <w:sz w:val="24"/>
          <w:szCs w:val="24"/>
        </w:rPr>
      </w:pPr>
      <w:r>
        <w:rPr>
          <w:rFonts w:hint="eastAsia" w:asciiTheme="minorEastAsia" w:hAnsiTheme="minorEastAsia" w:eastAsiaTheme="minorEastAsia" w:cstheme="minorEastAsia"/>
          <w:color w:val="000000"/>
          <w:sz w:val="24"/>
          <w:szCs w:val="24"/>
        </w:rPr>
        <w:br w:type="page"/>
      </w:r>
      <w:bookmarkStart w:id="56" w:name="_Toc3499"/>
      <w:r>
        <w:rPr>
          <w:rFonts w:hint="eastAsia"/>
          <w:color w:val="000000"/>
          <w:sz w:val="24"/>
          <w:szCs w:val="24"/>
        </w:rPr>
        <w:t>供应商基本情况表格式</w:t>
      </w:r>
      <w:bookmarkEnd w:id="56"/>
    </w:p>
    <w:p w14:paraId="7EB0E655">
      <w:pPr>
        <w:pageBreakBefore w:val="0"/>
        <w:kinsoku/>
        <w:wordWrap/>
        <w:overflowPunct/>
        <w:topLinePunct w:val="0"/>
        <w:autoSpaceDE/>
        <w:autoSpaceDN/>
        <w:bidi w:val="0"/>
        <w:adjustRightInd/>
        <w:snapToGrid/>
        <w:spacing w:line="560" w:lineRule="exact"/>
        <w:ind w:firstLine="437"/>
        <w:textAlignment w:val="auto"/>
        <w:rPr>
          <w:rFonts w:hint="eastAsia"/>
          <w:color w:val="000000"/>
          <w:sz w:val="24"/>
          <w:szCs w:val="24"/>
        </w:rPr>
      </w:pPr>
    </w:p>
    <w:p w14:paraId="6C685C4F">
      <w:pPr>
        <w:pageBreakBefore w:val="0"/>
        <w:kinsoku/>
        <w:wordWrap/>
        <w:overflowPunct/>
        <w:topLinePunct w:val="0"/>
        <w:autoSpaceDE/>
        <w:autoSpaceDN/>
        <w:bidi w:val="0"/>
        <w:adjustRightInd/>
        <w:snapToGrid/>
        <w:spacing w:line="560" w:lineRule="exact"/>
        <w:ind w:firstLine="437"/>
        <w:jc w:val="center"/>
        <w:textAlignment w:val="auto"/>
        <w:rPr>
          <w:rFonts w:hint="eastAsia"/>
          <w:b/>
          <w:color w:val="000000"/>
          <w:sz w:val="24"/>
          <w:szCs w:val="24"/>
        </w:rPr>
      </w:pPr>
      <w:r>
        <w:rPr>
          <w:rFonts w:hint="eastAsia"/>
          <w:b/>
          <w:color w:val="000000"/>
          <w:sz w:val="24"/>
          <w:szCs w:val="24"/>
        </w:rPr>
        <w:t>供应商基本情况表</w:t>
      </w:r>
    </w:p>
    <w:p w14:paraId="6CDDDB66">
      <w:pPr>
        <w:pageBreakBefore w:val="0"/>
        <w:widowControl/>
        <w:kinsoku/>
        <w:wordWrap/>
        <w:overflowPunct/>
        <w:topLinePunct w:val="0"/>
        <w:autoSpaceDE/>
        <w:autoSpaceDN/>
        <w:bidi w:val="0"/>
        <w:adjustRightInd/>
        <w:snapToGrid/>
        <w:spacing w:line="560" w:lineRule="exact"/>
        <w:ind w:firstLine="482" w:firstLineChars="200"/>
        <w:jc w:val="left"/>
        <w:textAlignment w:val="auto"/>
        <w:rPr>
          <w:rFonts w:hint="eastAsia" w:ascii="宋体" w:cs="宋体"/>
          <w:b/>
          <w:sz w:val="24"/>
          <w:szCs w:val="24"/>
        </w:rPr>
      </w:pPr>
      <w:r>
        <w:rPr>
          <w:rFonts w:hint="eastAsia" w:ascii="宋体" w:hAnsi="宋体" w:cs="宋体"/>
          <w:b/>
          <w:kern w:val="0"/>
          <w:sz w:val="24"/>
          <w:szCs w:val="24"/>
          <w:lang w:bidi="ar"/>
        </w:rPr>
        <w:t>一、名称和概况：</w:t>
      </w:r>
    </w:p>
    <w:p w14:paraId="1FB25E21">
      <w:pPr>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宋体" w:eastAsia="宋体" w:cs="宋体"/>
          <w:bCs/>
          <w:sz w:val="24"/>
          <w:szCs w:val="24"/>
          <w:lang w:eastAsia="zh-CN"/>
        </w:rPr>
      </w:pPr>
      <w:r>
        <w:rPr>
          <w:rFonts w:hint="eastAsia" w:ascii="宋体" w:hAnsi="宋体" w:cs="宋体"/>
          <w:bCs/>
          <w:kern w:val="0"/>
          <w:sz w:val="24"/>
          <w:szCs w:val="24"/>
          <w:lang w:bidi="ar"/>
        </w:rPr>
        <w:t>1.投标人名称：</w:t>
      </w:r>
    </w:p>
    <w:p w14:paraId="69DF659D">
      <w:pPr>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宋体" w:eastAsia="宋体" w:cs="宋体"/>
          <w:bCs/>
          <w:sz w:val="24"/>
          <w:szCs w:val="24"/>
          <w:lang w:eastAsia="zh-CN"/>
        </w:rPr>
      </w:pPr>
      <w:r>
        <w:rPr>
          <w:rFonts w:hint="eastAsia" w:ascii="宋体" w:hAnsi="宋体" w:cs="宋体"/>
          <w:bCs/>
          <w:kern w:val="0"/>
          <w:sz w:val="24"/>
          <w:szCs w:val="24"/>
          <w:lang w:bidi="ar"/>
        </w:rPr>
        <w:t>2.单位地址：</w:t>
      </w:r>
    </w:p>
    <w:p w14:paraId="0510E0A6">
      <w:pPr>
        <w:pageBreakBefore w:val="0"/>
        <w:widowControl/>
        <w:tabs>
          <w:tab w:val="left" w:pos="2282"/>
        </w:tabs>
        <w:kinsoku/>
        <w:wordWrap/>
        <w:overflowPunct/>
        <w:topLinePunct w:val="0"/>
        <w:autoSpaceDE/>
        <w:autoSpaceDN/>
        <w:bidi w:val="0"/>
        <w:adjustRightInd/>
        <w:snapToGrid/>
        <w:spacing w:line="560" w:lineRule="exact"/>
        <w:ind w:firstLine="720" w:firstLineChars="300"/>
        <w:jc w:val="left"/>
        <w:textAlignment w:val="auto"/>
        <w:rPr>
          <w:rFonts w:hint="eastAsia" w:ascii="宋体" w:eastAsia="宋体" w:cs="宋体"/>
          <w:bCs/>
          <w:sz w:val="24"/>
          <w:szCs w:val="24"/>
          <w:lang w:eastAsia="zh-CN"/>
        </w:rPr>
      </w:pPr>
      <w:r>
        <w:rPr>
          <w:rFonts w:hint="eastAsia" w:ascii="宋体" w:hAnsi="宋体" w:cs="宋体"/>
          <w:bCs/>
          <w:kern w:val="0"/>
          <w:sz w:val="24"/>
          <w:szCs w:val="24"/>
          <w:lang w:bidi="ar"/>
        </w:rPr>
        <w:t>邮编：</w:t>
      </w:r>
    </w:p>
    <w:p w14:paraId="7A6A8377">
      <w:pPr>
        <w:pageBreakBefore w:val="0"/>
        <w:widowControl/>
        <w:tabs>
          <w:tab w:val="left" w:pos="2282"/>
        </w:tabs>
        <w:kinsoku/>
        <w:wordWrap/>
        <w:overflowPunct/>
        <w:topLinePunct w:val="0"/>
        <w:autoSpaceDE/>
        <w:autoSpaceDN/>
        <w:bidi w:val="0"/>
        <w:adjustRightInd/>
        <w:snapToGrid/>
        <w:spacing w:line="560" w:lineRule="exact"/>
        <w:ind w:firstLine="720" w:firstLineChars="300"/>
        <w:jc w:val="left"/>
        <w:textAlignment w:val="auto"/>
        <w:rPr>
          <w:rFonts w:hint="eastAsia" w:ascii="宋体" w:eastAsia="宋体" w:cs="宋体"/>
          <w:bCs/>
          <w:sz w:val="24"/>
          <w:szCs w:val="24"/>
          <w:lang w:eastAsia="zh-CN"/>
        </w:rPr>
      </w:pPr>
      <w:r>
        <w:rPr>
          <w:rFonts w:hint="eastAsia" w:ascii="宋体" w:hAnsi="宋体" w:cs="宋体"/>
          <w:bCs/>
          <w:kern w:val="0"/>
          <w:sz w:val="24"/>
          <w:szCs w:val="24"/>
          <w:lang w:bidi="ar"/>
        </w:rPr>
        <w:t>传真/电话：</w:t>
      </w:r>
    </w:p>
    <w:p w14:paraId="4A24B524">
      <w:pPr>
        <w:pageBreakBefore w:val="0"/>
        <w:widowControl/>
        <w:tabs>
          <w:tab w:val="left" w:pos="2282"/>
        </w:tabs>
        <w:kinsoku/>
        <w:wordWrap/>
        <w:overflowPunct/>
        <w:topLinePunct w:val="0"/>
        <w:autoSpaceDE/>
        <w:autoSpaceDN/>
        <w:bidi w:val="0"/>
        <w:adjustRightInd/>
        <w:snapToGrid/>
        <w:spacing w:line="560" w:lineRule="exact"/>
        <w:ind w:firstLine="480" w:firstLineChars="200"/>
        <w:jc w:val="left"/>
        <w:textAlignment w:val="auto"/>
        <w:rPr>
          <w:rFonts w:hint="eastAsia" w:ascii="宋体" w:eastAsia="宋体" w:cs="宋体"/>
          <w:sz w:val="24"/>
          <w:szCs w:val="24"/>
          <w:u w:val="single"/>
          <w:lang w:eastAsia="zh-CN"/>
        </w:rPr>
      </w:pPr>
      <w:r>
        <w:rPr>
          <w:rFonts w:hint="eastAsia" w:ascii="宋体" w:hAnsi="宋体" w:cs="宋体"/>
          <w:bCs/>
          <w:kern w:val="0"/>
          <w:sz w:val="24"/>
          <w:szCs w:val="24"/>
          <w:lang w:bidi="ar"/>
        </w:rPr>
        <w:t>3.成立日期或注册日期：</w:t>
      </w:r>
    </w:p>
    <w:p w14:paraId="6CA20992">
      <w:pPr>
        <w:pageBreakBefore w:val="0"/>
        <w:widowControl/>
        <w:tabs>
          <w:tab w:val="left" w:pos="2282"/>
        </w:tabs>
        <w:kinsoku/>
        <w:wordWrap/>
        <w:overflowPunct/>
        <w:topLinePunct w:val="0"/>
        <w:autoSpaceDE/>
        <w:autoSpaceDN/>
        <w:bidi w:val="0"/>
        <w:adjustRightInd/>
        <w:snapToGrid/>
        <w:spacing w:line="560" w:lineRule="exact"/>
        <w:ind w:firstLine="480" w:firstLineChars="200"/>
        <w:jc w:val="left"/>
        <w:textAlignment w:val="auto"/>
        <w:rPr>
          <w:rFonts w:hint="eastAsia" w:ascii="宋体" w:eastAsia="宋体" w:cs="宋体"/>
          <w:bCs/>
          <w:sz w:val="24"/>
          <w:szCs w:val="24"/>
          <w:lang w:eastAsia="zh-CN"/>
        </w:rPr>
      </w:pPr>
      <w:r>
        <w:rPr>
          <w:rFonts w:hint="eastAsia" w:ascii="宋体" w:hAnsi="宋体" w:cs="宋体"/>
          <w:bCs/>
          <w:kern w:val="0"/>
          <w:sz w:val="24"/>
          <w:szCs w:val="24"/>
          <w:lang w:bidi="ar"/>
        </w:rPr>
        <w:t>4.投标人法定代表人名称：</w:t>
      </w:r>
    </w:p>
    <w:p w14:paraId="0583DC65">
      <w:pPr>
        <w:pageBreakBefore w:val="0"/>
        <w:widowControl/>
        <w:tabs>
          <w:tab w:val="left" w:pos="2282"/>
        </w:tabs>
        <w:kinsoku/>
        <w:wordWrap/>
        <w:overflowPunct/>
        <w:topLinePunct w:val="0"/>
        <w:autoSpaceDE/>
        <w:autoSpaceDN/>
        <w:bidi w:val="0"/>
        <w:adjustRightInd/>
        <w:snapToGrid/>
        <w:spacing w:line="560" w:lineRule="exact"/>
        <w:ind w:firstLine="480"/>
        <w:jc w:val="left"/>
        <w:textAlignment w:val="auto"/>
        <w:rPr>
          <w:rFonts w:hint="eastAsia" w:ascii="宋体" w:cs="宋体"/>
          <w:bCs/>
          <w:sz w:val="24"/>
          <w:szCs w:val="24"/>
        </w:rPr>
      </w:pPr>
      <w:r>
        <w:rPr>
          <w:rFonts w:hint="eastAsia" w:ascii="宋体" w:hAnsi="宋体" w:cs="宋体"/>
          <w:bCs/>
          <w:kern w:val="0"/>
          <w:sz w:val="24"/>
          <w:szCs w:val="24"/>
          <w:lang w:bidi="ar"/>
        </w:rPr>
        <w:t>就我方所知，兹证明上述声明是真实、正确的，并已提供了全部现有资料和数据，我方同意根据贵方要求出示文件予以证实。</w:t>
      </w:r>
    </w:p>
    <w:p w14:paraId="256DF88F">
      <w:pPr>
        <w:pageBreakBefore w:val="0"/>
        <w:widowControl/>
        <w:kinsoku/>
        <w:wordWrap/>
        <w:overflowPunct/>
        <w:topLinePunct w:val="0"/>
        <w:autoSpaceDE/>
        <w:autoSpaceDN/>
        <w:bidi w:val="0"/>
        <w:adjustRightInd/>
        <w:snapToGrid/>
        <w:spacing w:line="560" w:lineRule="exact"/>
        <w:jc w:val="left"/>
        <w:textAlignment w:val="auto"/>
        <w:rPr>
          <w:rFonts w:hint="eastAsia" w:ascii="宋体" w:cs="宋体"/>
          <w:sz w:val="24"/>
          <w:szCs w:val="24"/>
        </w:rPr>
      </w:pPr>
      <w:r>
        <w:rPr>
          <w:rFonts w:hint="eastAsia" w:ascii="宋体" w:hAnsi="宋体" w:cs="宋体"/>
          <w:kern w:val="0"/>
          <w:sz w:val="24"/>
          <w:szCs w:val="24"/>
          <w:lang w:bidi="ar"/>
        </w:rPr>
        <w:t>投标人名称：（加盖公章）</w:t>
      </w:r>
    </w:p>
    <w:p w14:paraId="11754CAD">
      <w:pPr>
        <w:pageBreakBefore w:val="0"/>
        <w:widowControl/>
        <w:kinsoku/>
        <w:wordWrap/>
        <w:overflowPunct/>
        <w:topLinePunct w:val="0"/>
        <w:autoSpaceDE/>
        <w:autoSpaceDN/>
        <w:bidi w:val="0"/>
        <w:adjustRightInd/>
        <w:snapToGrid/>
        <w:spacing w:line="560" w:lineRule="exact"/>
        <w:jc w:val="left"/>
        <w:textAlignment w:val="auto"/>
        <w:rPr>
          <w:rFonts w:hint="eastAsia" w:ascii="宋体" w:cs="宋体"/>
          <w:bCs/>
          <w:sz w:val="24"/>
          <w:szCs w:val="24"/>
        </w:rPr>
      </w:pPr>
      <w:r>
        <w:rPr>
          <w:rFonts w:hint="eastAsia" w:ascii="宋体" w:hAnsi="宋体" w:cs="宋体"/>
          <w:kern w:val="0"/>
          <w:sz w:val="24"/>
          <w:szCs w:val="24"/>
          <w:lang w:bidi="ar"/>
        </w:rPr>
        <w:t>法定代表人或授权代理人：（签字或盖章）</w:t>
      </w:r>
    </w:p>
    <w:p w14:paraId="4A07CF36">
      <w:pPr>
        <w:pageBreakBefore w:val="0"/>
        <w:tabs>
          <w:tab w:val="left" w:pos="2282"/>
        </w:tabs>
        <w:kinsoku/>
        <w:wordWrap/>
        <w:overflowPunct/>
        <w:topLinePunct w:val="0"/>
        <w:autoSpaceDE/>
        <w:autoSpaceDN/>
        <w:bidi w:val="0"/>
        <w:adjustRightInd/>
        <w:snapToGrid/>
        <w:spacing w:line="560" w:lineRule="exact"/>
        <w:ind w:firstLine="482" w:firstLineChars="200"/>
        <w:textAlignment w:val="auto"/>
        <w:rPr>
          <w:rFonts w:hint="eastAsia" w:ascii="宋体" w:hAnsi="宋体"/>
          <w:bCs/>
          <w:color w:val="000000"/>
          <w:sz w:val="24"/>
          <w:szCs w:val="24"/>
        </w:rPr>
      </w:pPr>
      <w:r>
        <w:rPr>
          <w:rFonts w:hint="eastAsia" w:ascii="宋体" w:hAnsi="宋体"/>
          <w:b/>
          <w:sz w:val="24"/>
          <w:szCs w:val="24"/>
          <w:lang w:bidi="ar"/>
        </w:rPr>
        <w:t>二、投标单位简要说明</w:t>
      </w:r>
    </w:p>
    <w:p w14:paraId="7DDBBBE7">
      <w:pPr>
        <w:pageBreakBefore w:val="0"/>
        <w:tabs>
          <w:tab w:val="left" w:pos="2282"/>
        </w:tabs>
        <w:kinsoku/>
        <w:wordWrap/>
        <w:overflowPunct/>
        <w:topLinePunct w:val="0"/>
        <w:autoSpaceDE/>
        <w:autoSpaceDN/>
        <w:bidi w:val="0"/>
        <w:adjustRightInd/>
        <w:snapToGrid/>
        <w:spacing w:line="560" w:lineRule="exact"/>
        <w:ind w:firstLine="480" w:firstLineChars="200"/>
        <w:textAlignment w:val="auto"/>
        <w:rPr>
          <w:rFonts w:hint="eastAsia" w:ascii="宋体" w:hAnsi="宋体"/>
          <w:bCs/>
          <w:color w:val="000000"/>
          <w:sz w:val="24"/>
          <w:szCs w:val="24"/>
        </w:rPr>
      </w:pPr>
      <w:r>
        <w:rPr>
          <w:rFonts w:hint="eastAsia" w:ascii="宋体" w:hAnsi="宋体"/>
          <w:bCs/>
          <w:color w:val="000000"/>
          <w:sz w:val="24"/>
          <w:szCs w:val="24"/>
        </w:rPr>
        <w:t>1.供应商基本情况。包括地理位置、营业面积、企业性质、组织结构等。</w:t>
      </w:r>
    </w:p>
    <w:p w14:paraId="629AEE58">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2.供应商经营情况。</w:t>
      </w:r>
    </w:p>
    <w:p w14:paraId="4888C22B">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3.供应商认为有必要说明的问题（如有时）。</w:t>
      </w:r>
    </w:p>
    <w:p w14:paraId="5058A2E3">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（由供应商按以上要求表述）</w:t>
      </w:r>
    </w:p>
    <w:p w14:paraId="5B38D1A6">
      <w:pPr>
        <w:pageBreakBefore w:val="0"/>
        <w:kinsoku/>
        <w:wordWrap/>
        <w:overflowPunct/>
        <w:topLinePunct w:val="0"/>
        <w:autoSpaceDE/>
        <w:autoSpaceDN/>
        <w:bidi w:val="0"/>
        <w:adjustRightInd/>
        <w:snapToGrid/>
        <w:spacing w:line="560" w:lineRule="exact"/>
        <w:jc w:val="left"/>
        <w:textAlignment w:val="auto"/>
        <w:outlineLvl w:val="9"/>
        <w:rPr>
          <w:rFonts w:hint="eastAsia" w:ascii="宋体" w:hAnsi="宋体"/>
          <w:color w:val="000000"/>
          <w:sz w:val="24"/>
          <w:szCs w:val="24"/>
        </w:rPr>
      </w:pPr>
    </w:p>
    <w:p w14:paraId="0DF2BA30">
      <w:pPr>
        <w:pageBreakBefore w:val="0"/>
        <w:kinsoku/>
        <w:wordWrap/>
        <w:overflowPunct/>
        <w:topLinePunct w:val="0"/>
        <w:autoSpaceDE/>
        <w:autoSpaceDN/>
        <w:bidi w:val="0"/>
        <w:adjustRightInd/>
        <w:snapToGrid/>
        <w:spacing w:line="560" w:lineRule="exact"/>
        <w:jc w:val="both"/>
        <w:textAlignment w:val="auto"/>
        <w:outlineLvl w:val="9"/>
        <w:rPr>
          <w:rFonts w:hint="eastAsia"/>
          <w:sz w:val="24"/>
          <w:szCs w:val="24"/>
        </w:rPr>
      </w:pPr>
    </w:p>
    <w:p w14:paraId="0C82F929">
      <w:pPr>
        <w:pageBreakBefore w:val="0"/>
        <w:kinsoku/>
        <w:wordWrap/>
        <w:overflowPunct/>
        <w:topLinePunct w:val="0"/>
        <w:autoSpaceDE/>
        <w:autoSpaceDN/>
        <w:bidi w:val="0"/>
        <w:adjustRightInd/>
        <w:snapToGrid/>
        <w:spacing w:line="560" w:lineRule="exact"/>
        <w:textAlignment w:val="auto"/>
        <w:rPr>
          <w:rFonts w:hint="eastAsia"/>
          <w:sz w:val="24"/>
          <w:szCs w:val="24"/>
        </w:rPr>
      </w:pPr>
    </w:p>
    <w:p w14:paraId="0CF11F26">
      <w:pPr>
        <w:pageBreakBefore w:val="0"/>
        <w:kinsoku/>
        <w:wordWrap/>
        <w:overflowPunct/>
        <w:topLinePunct w:val="0"/>
        <w:autoSpaceDE/>
        <w:autoSpaceDN/>
        <w:bidi w:val="0"/>
        <w:adjustRightInd/>
        <w:snapToGrid/>
        <w:spacing w:line="560" w:lineRule="exact"/>
        <w:textAlignment w:val="auto"/>
        <w:outlineLvl w:val="9"/>
        <w:rPr>
          <w:rFonts w:hint="eastAsia"/>
          <w:sz w:val="24"/>
          <w:szCs w:val="24"/>
        </w:rPr>
      </w:pPr>
    </w:p>
    <w:p w14:paraId="0905F496">
      <w:pPr>
        <w:pStyle w:val="13"/>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lang w:eastAsia="zh-CN"/>
        </w:rPr>
      </w:pPr>
    </w:p>
    <w:p w14:paraId="69FB293B">
      <w:pPr>
        <w:pStyle w:val="3"/>
        <w:pageBreakBefore w:val="0"/>
        <w:kinsoku/>
        <w:wordWrap/>
        <w:overflowPunct/>
        <w:topLinePunct w:val="0"/>
        <w:autoSpaceDE/>
        <w:autoSpaceDN/>
        <w:bidi w:val="0"/>
        <w:adjustRightInd/>
        <w:snapToGrid/>
        <w:spacing w:line="560" w:lineRule="exact"/>
        <w:textAlignment w:val="auto"/>
        <w:rPr>
          <w:rFonts w:hint="eastAsia"/>
          <w:color w:val="000000"/>
          <w:sz w:val="24"/>
          <w:szCs w:val="24"/>
        </w:rPr>
      </w:pPr>
      <w:bookmarkStart w:id="57" w:name="_Toc21847"/>
      <w:r>
        <w:rPr>
          <w:rFonts w:hint="eastAsia"/>
          <w:color w:val="000000"/>
          <w:sz w:val="24"/>
          <w:szCs w:val="24"/>
        </w:rPr>
        <w:t>项目实施方案</w:t>
      </w:r>
      <w:bookmarkEnd w:id="57"/>
    </w:p>
    <w:p w14:paraId="78CCBF28">
      <w:pPr>
        <w:pageBreakBefore w:val="0"/>
        <w:kinsoku/>
        <w:wordWrap/>
        <w:overflowPunct/>
        <w:topLinePunct w:val="0"/>
        <w:autoSpaceDE/>
        <w:autoSpaceDN/>
        <w:bidi w:val="0"/>
        <w:adjustRightInd/>
        <w:snapToGrid/>
        <w:spacing w:line="560" w:lineRule="exact"/>
        <w:ind w:firstLine="480"/>
        <w:textAlignment w:val="auto"/>
        <w:rPr>
          <w:rFonts w:hint="eastAsia"/>
          <w:color w:val="000000"/>
          <w:sz w:val="24"/>
          <w:szCs w:val="24"/>
          <w:u w:val="single"/>
        </w:rPr>
      </w:pPr>
    </w:p>
    <w:p w14:paraId="678CF4BD">
      <w:pPr>
        <w:pageBreakBefore w:val="0"/>
        <w:kinsoku/>
        <w:wordWrap/>
        <w:overflowPunct/>
        <w:topLinePunct w:val="0"/>
        <w:autoSpaceDE/>
        <w:autoSpaceDN/>
        <w:bidi w:val="0"/>
        <w:adjustRightInd/>
        <w:snapToGrid/>
        <w:spacing w:line="560" w:lineRule="exact"/>
        <w:ind w:firstLine="437"/>
        <w:jc w:val="center"/>
        <w:textAlignment w:val="auto"/>
        <w:rPr>
          <w:rFonts w:hint="eastAsia"/>
          <w:b/>
          <w:color w:val="000000"/>
          <w:sz w:val="24"/>
          <w:szCs w:val="24"/>
        </w:rPr>
      </w:pPr>
      <w:r>
        <w:rPr>
          <w:rFonts w:hint="eastAsia"/>
          <w:b/>
          <w:color w:val="000000"/>
          <w:sz w:val="24"/>
          <w:szCs w:val="24"/>
        </w:rPr>
        <w:t>项目实施方案</w:t>
      </w:r>
    </w:p>
    <w:p w14:paraId="51E6B4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ascii="Segoe UI Emoji" w:hAnsi="Segoe UI Emoji" w:eastAsia="Segoe UI Emoji" w:cs="Segoe UI Emoji"/>
          <w:i w:val="0"/>
          <w:iCs w:val="0"/>
          <w:caps w:val="0"/>
          <w:color w:val="000000"/>
          <w:spacing w:val="0"/>
          <w:sz w:val="24"/>
          <w:szCs w:val="24"/>
        </w:rPr>
      </w:pPr>
      <w:bookmarkStart w:id="58" w:name="_Toc26989"/>
      <w:r>
        <w:rPr>
          <w:rFonts w:ascii="Segoe UI Emoji" w:hAnsi="Segoe UI Emoji" w:eastAsia="Segoe UI Emoji" w:cs="Segoe UI Emoji"/>
          <w:i w:val="0"/>
          <w:iCs w:val="0"/>
          <w:caps w:val="0"/>
          <w:color w:val="000000"/>
          <w:spacing w:val="0"/>
          <w:sz w:val="24"/>
          <w:szCs w:val="24"/>
        </w:rPr>
        <w:t xml:space="preserve">供应商如果一旦中标，应按其在项目实施方案中的承诺安排各阶段工作的实施。包括但不限于： </w:t>
      </w:r>
    </w:p>
    <w:bookmarkEnd w:id="58"/>
    <w:p w14:paraId="30417B58">
      <w:pPr>
        <w:pageBreakBefore w:val="0"/>
        <w:kinsoku/>
        <w:wordWrap/>
        <w:overflowPunct/>
        <w:topLinePunct w:val="0"/>
        <w:bidi w:val="0"/>
        <w:spacing w:line="560" w:lineRule="exact"/>
        <w:ind w:firstLine="480" w:firstLineChars="200"/>
        <w:textAlignment w:val="auto"/>
        <w:outlineLvl w:val="9"/>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(1)</w:t>
      </w:r>
      <w:r>
        <w:rPr>
          <w:rFonts w:hint="eastAsia" w:asciiTheme="minorEastAsia" w:hAnsiTheme="minorEastAsia" w:eastAsiaTheme="minorEastAsia" w:cstheme="minorEastAsia"/>
          <w:color w:val="000000"/>
          <w:sz w:val="24"/>
          <w:szCs w:val="24"/>
          <w:highlight w:val="none"/>
        </w:rPr>
        <w:t xml:space="preserve">项目实施方案及措施：明确保洁服务范围、作业频次、人员/设备/耗材配置、作业流程及质量验收标准； </w:t>
      </w:r>
    </w:p>
    <w:p w14:paraId="27A1E631">
      <w:pPr>
        <w:pageBreakBefore w:val="0"/>
        <w:kinsoku/>
        <w:wordWrap/>
        <w:overflowPunct/>
        <w:topLinePunct w:val="0"/>
        <w:bidi w:val="0"/>
        <w:spacing w:line="560" w:lineRule="exact"/>
        <w:ind w:firstLine="480" w:firstLineChars="200"/>
        <w:textAlignment w:val="auto"/>
        <w:outlineLvl w:val="9"/>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(2)综合维修</w:t>
      </w:r>
      <w:r>
        <w:rPr>
          <w:rFonts w:hint="eastAsia" w:asciiTheme="minorEastAsia" w:hAnsiTheme="minorEastAsia" w:eastAsiaTheme="minorEastAsia" w:cstheme="minorEastAsia"/>
          <w:color w:val="000000"/>
          <w:sz w:val="24"/>
          <w:szCs w:val="24"/>
          <w:highlight w:val="none"/>
        </w:rPr>
        <w:t>作业安全运行保障方案及措施：涵盖人员防护、设施保护、环保合规、应急处置及安全责任划分；</w:t>
      </w:r>
    </w:p>
    <w:p w14:paraId="5BE6416C">
      <w:pPr>
        <w:pageBreakBefore w:val="0"/>
        <w:kinsoku/>
        <w:wordWrap/>
        <w:overflowPunct/>
        <w:topLinePunct w:val="0"/>
        <w:bidi w:val="0"/>
        <w:spacing w:line="560" w:lineRule="exact"/>
        <w:ind w:firstLine="480" w:firstLineChars="200"/>
        <w:textAlignment w:val="auto"/>
        <w:outlineLvl w:val="9"/>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(3)</w:t>
      </w:r>
      <w:r>
        <w:rPr>
          <w:rFonts w:hint="eastAsia" w:asciiTheme="minorEastAsia" w:hAnsiTheme="minorEastAsia" w:eastAsiaTheme="minorEastAsia" w:cstheme="minorEastAsia"/>
          <w:color w:val="000000"/>
          <w:sz w:val="24"/>
          <w:szCs w:val="24"/>
          <w:highlight w:val="none"/>
        </w:rPr>
        <w:t>售后服务方案及措施：明确响应时限、投诉处理、质量监督、需求调整及沟通反馈机制；</w:t>
      </w:r>
    </w:p>
    <w:p w14:paraId="127F39AB">
      <w:pPr>
        <w:pageBreakBefore w:val="0"/>
        <w:kinsoku/>
        <w:wordWrap/>
        <w:overflowPunct/>
        <w:topLinePunct w:val="0"/>
        <w:bidi w:val="0"/>
        <w:spacing w:line="560" w:lineRule="exact"/>
        <w:ind w:firstLine="480" w:firstLineChars="200"/>
        <w:textAlignment w:val="auto"/>
        <w:outlineLvl w:val="9"/>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(4) 驻场运维方案及措施：确定驻场人员配置、岗位职责、日常管理、设备维保及协调对接流程。</w:t>
      </w:r>
    </w:p>
    <w:p w14:paraId="766569A6">
      <w:pP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br w:type="page"/>
      </w:r>
    </w:p>
    <w:p w14:paraId="569C327C">
      <w:pPr>
        <w:rPr>
          <w:rFonts w:hint="eastAsia" w:ascii="宋体" w:hAnsi="宋体"/>
          <w:b/>
          <w:color w:val="000000"/>
          <w:sz w:val="24"/>
          <w:szCs w:val="24"/>
        </w:rPr>
      </w:pPr>
    </w:p>
    <w:p w14:paraId="6F2AAD64">
      <w:pPr>
        <w:pageBreakBefore w:val="0"/>
        <w:kinsoku/>
        <w:wordWrap/>
        <w:overflowPunct/>
        <w:topLinePunct w:val="0"/>
        <w:autoSpaceDE/>
        <w:autoSpaceDN/>
        <w:bidi w:val="0"/>
        <w:adjustRightInd/>
        <w:snapToGrid/>
        <w:spacing w:line="560" w:lineRule="exact"/>
        <w:jc w:val="center"/>
        <w:textAlignment w:val="auto"/>
        <w:rPr>
          <w:rFonts w:hint="eastAsia" w:ascii="宋体" w:hAnsi="宋体"/>
          <w:color w:val="000000"/>
          <w:sz w:val="24"/>
          <w:szCs w:val="24"/>
        </w:rPr>
      </w:pPr>
      <w:r>
        <w:rPr>
          <w:rFonts w:hint="eastAsia" w:ascii="宋体" w:hAnsi="宋体"/>
          <w:b/>
          <w:color w:val="000000"/>
          <w:sz w:val="24"/>
          <w:szCs w:val="24"/>
        </w:rPr>
        <w:t>其它（如有时）</w:t>
      </w:r>
    </w:p>
    <w:p w14:paraId="1341DBD9">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1E020E22">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2AA85403">
      <w:pPr>
        <w:pageBreakBefore w:val="0"/>
        <w:kinsoku/>
        <w:wordWrap/>
        <w:overflowPunct/>
        <w:topLinePunct w:val="0"/>
        <w:autoSpaceDE/>
        <w:autoSpaceDN/>
        <w:bidi w:val="0"/>
        <w:adjustRightInd/>
        <w:snapToGrid/>
        <w:spacing w:line="560" w:lineRule="exact"/>
        <w:ind w:firstLine="723" w:firstLineChars="300"/>
        <w:textAlignment w:val="auto"/>
        <w:rPr>
          <w:rFonts w:hint="eastAsia" w:ascii="宋体" w:hAnsi="宋体"/>
          <w:b/>
          <w:bCs/>
          <w:color w:val="000000"/>
          <w:sz w:val="24"/>
          <w:szCs w:val="24"/>
        </w:rPr>
      </w:pPr>
      <w:r>
        <w:rPr>
          <w:rFonts w:hint="eastAsia" w:ascii="宋体" w:hAnsi="宋体"/>
          <w:b/>
          <w:bCs/>
          <w:color w:val="000000"/>
          <w:sz w:val="24"/>
          <w:szCs w:val="24"/>
        </w:rPr>
        <w:t>注：此处请提供询比采购文件要求提供的或投标单位认为必须提供的相关证明材料（涉及加分的必须将原件带到开标现场，由评标委员会进行审查。）</w:t>
      </w:r>
    </w:p>
    <w:p w14:paraId="18D9C1AC">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0D72F18B">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1DEDB907">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252A98C2">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5C0EF22F">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3ACD9C1A">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649ACCA7">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182BD30A">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271E8CD1">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650AA580">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0527C567">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40863BCC">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66A84412">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15DEAA94">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7DEEAE58">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74EB6862">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50539CB4">
      <w:pPr>
        <w:rPr>
          <w:rFonts w:hint="eastAsia"/>
          <w:color w:val="000000"/>
          <w:sz w:val="24"/>
          <w:szCs w:val="24"/>
        </w:rPr>
      </w:pPr>
      <w:bookmarkStart w:id="59" w:name="_Toc74"/>
      <w:r>
        <w:rPr>
          <w:rFonts w:hint="eastAsia"/>
          <w:color w:val="000000"/>
          <w:sz w:val="24"/>
          <w:szCs w:val="24"/>
        </w:rPr>
        <w:br w:type="page"/>
      </w:r>
    </w:p>
    <w:p w14:paraId="289D216D">
      <w:pPr>
        <w:pStyle w:val="3"/>
        <w:pageBreakBefore w:val="0"/>
        <w:kinsoku/>
        <w:wordWrap/>
        <w:overflowPunct/>
        <w:topLinePunct w:val="0"/>
        <w:autoSpaceDE/>
        <w:autoSpaceDN/>
        <w:bidi w:val="0"/>
        <w:adjustRightInd/>
        <w:snapToGrid/>
        <w:spacing w:line="560" w:lineRule="exact"/>
        <w:textAlignment w:val="auto"/>
        <w:rPr>
          <w:rFonts w:hint="eastAsia"/>
          <w:color w:val="000000"/>
          <w:sz w:val="24"/>
          <w:szCs w:val="24"/>
        </w:rPr>
      </w:pPr>
      <w:r>
        <w:rPr>
          <w:rFonts w:hint="eastAsia"/>
          <w:color w:val="000000"/>
          <w:sz w:val="24"/>
          <w:szCs w:val="24"/>
        </w:rPr>
        <w:t>供应商资格证明文件</w:t>
      </w:r>
      <w:bookmarkEnd w:id="59"/>
    </w:p>
    <w:p w14:paraId="489DF99C">
      <w:pPr>
        <w:pageBreakBefore w:val="0"/>
        <w:kinsoku/>
        <w:wordWrap/>
        <w:overflowPunct/>
        <w:topLinePunct w:val="0"/>
        <w:autoSpaceDE/>
        <w:autoSpaceDN/>
        <w:bidi w:val="0"/>
        <w:adjustRightInd/>
        <w:snapToGrid/>
        <w:spacing w:line="560" w:lineRule="exact"/>
        <w:ind w:firstLine="482" w:firstLineChars="200"/>
        <w:jc w:val="center"/>
        <w:textAlignment w:val="auto"/>
        <w:rPr>
          <w:rFonts w:hint="eastAsia" w:ascii="宋体" w:hAnsi="宋体"/>
          <w:b/>
          <w:color w:val="000000"/>
          <w:sz w:val="24"/>
          <w:szCs w:val="24"/>
        </w:rPr>
      </w:pPr>
    </w:p>
    <w:p w14:paraId="5038065B">
      <w:pPr>
        <w:pageBreakBefore w:val="0"/>
        <w:kinsoku/>
        <w:wordWrap/>
        <w:overflowPunct/>
        <w:topLinePunct w:val="0"/>
        <w:autoSpaceDE/>
        <w:autoSpaceDN/>
        <w:bidi w:val="0"/>
        <w:adjustRightInd/>
        <w:snapToGrid/>
        <w:spacing w:line="560" w:lineRule="exact"/>
        <w:jc w:val="center"/>
        <w:textAlignment w:val="auto"/>
        <w:rPr>
          <w:rFonts w:hint="eastAsia" w:ascii="宋体" w:hAnsi="宋体"/>
          <w:b/>
          <w:color w:val="000000"/>
          <w:sz w:val="24"/>
          <w:szCs w:val="24"/>
        </w:rPr>
      </w:pPr>
      <w:r>
        <w:rPr>
          <w:rFonts w:hint="eastAsia" w:ascii="宋体" w:hAnsi="宋体"/>
          <w:b/>
          <w:color w:val="000000"/>
          <w:sz w:val="24"/>
          <w:szCs w:val="24"/>
        </w:rPr>
        <w:t>供应商资格证明文件</w:t>
      </w:r>
    </w:p>
    <w:p w14:paraId="03001D8D">
      <w:pPr>
        <w:pageBreakBefore w:val="0"/>
        <w:kinsoku/>
        <w:wordWrap/>
        <w:overflowPunct/>
        <w:topLinePunct w:val="0"/>
        <w:autoSpaceDE/>
        <w:autoSpaceDN/>
        <w:bidi w:val="0"/>
        <w:adjustRightInd/>
        <w:snapToGrid/>
        <w:spacing w:line="560" w:lineRule="exact"/>
        <w:ind w:firstLine="482" w:firstLineChars="200"/>
        <w:jc w:val="center"/>
        <w:textAlignment w:val="auto"/>
        <w:rPr>
          <w:rFonts w:hint="eastAsia" w:ascii="宋体" w:hAnsi="宋体"/>
          <w:b/>
          <w:color w:val="000000"/>
          <w:sz w:val="24"/>
          <w:szCs w:val="24"/>
        </w:rPr>
      </w:pPr>
    </w:p>
    <w:p w14:paraId="602A3BBC">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color w:val="000000"/>
          <w:sz w:val="24"/>
          <w:szCs w:val="24"/>
        </w:rPr>
      </w:pPr>
      <w:r>
        <w:rPr>
          <w:rFonts w:hint="eastAsia" w:ascii="宋体" w:hAnsi="宋体"/>
          <w:color w:val="000000"/>
          <w:sz w:val="24"/>
          <w:szCs w:val="24"/>
        </w:rPr>
        <w:t>A．</w:t>
      </w:r>
      <w:r>
        <w:rPr>
          <w:rFonts w:hint="eastAsia" w:ascii="宋体" w:hAnsi="宋体"/>
          <w:sz w:val="24"/>
          <w:szCs w:val="24"/>
        </w:rPr>
        <w:t>有效的企业营业执照副本、税务登记证副本、组织机构代码证副本（三证合一或五证合一的企业只需提供具有统一社会信用代码独立法人的营业执照副本）</w:t>
      </w:r>
      <w:r>
        <w:rPr>
          <w:rFonts w:hint="eastAsia" w:ascii="宋体"/>
          <w:color w:val="000000"/>
          <w:sz w:val="24"/>
          <w:szCs w:val="24"/>
        </w:rPr>
        <w:t>；</w:t>
      </w:r>
    </w:p>
    <w:p w14:paraId="14865F43">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B．</w:t>
      </w:r>
      <w:r>
        <w:rPr>
          <w:rFonts w:hint="eastAsia" w:ascii="宋体" w:hAnsi="宋体"/>
          <w:sz w:val="24"/>
          <w:szCs w:val="24"/>
        </w:rPr>
        <w:t>银行开户许可证（或取消开户许可证的须提供基本存款账户银行备案资料）</w:t>
      </w:r>
      <w:r>
        <w:rPr>
          <w:rFonts w:hint="eastAsia" w:ascii="宋体" w:hAnsi="宋体"/>
          <w:color w:val="000000"/>
          <w:sz w:val="24"/>
          <w:szCs w:val="24"/>
        </w:rPr>
        <w:t>；</w:t>
      </w:r>
    </w:p>
    <w:p w14:paraId="355246B2">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C．</w:t>
      </w:r>
      <w:r>
        <w:rPr>
          <w:rFonts w:hint="eastAsia" w:ascii="宋体" w:hAnsi="宋体"/>
          <w:sz w:val="24"/>
          <w:szCs w:val="24"/>
        </w:rPr>
        <w:t>缴费所属期为202</w:t>
      </w:r>
      <w:r>
        <w:rPr>
          <w:rFonts w:hint="eastAsia" w:ascii="宋体" w:hAnsi="宋体"/>
          <w:sz w:val="24"/>
          <w:szCs w:val="24"/>
          <w:lang w:val="en-US" w:eastAsia="zh-CN"/>
        </w:rPr>
        <w:t>5</w:t>
      </w:r>
      <w:r>
        <w:rPr>
          <w:rFonts w:hint="eastAsia" w:ascii="宋体" w:hAnsi="宋体"/>
          <w:sz w:val="24"/>
          <w:szCs w:val="24"/>
        </w:rPr>
        <w:t>年1月1日至今任意月</w:t>
      </w:r>
      <w:r>
        <w:rPr>
          <w:rFonts w:hint="eastAsia" w:ascii="宋体"/>
          <w:sz w:val="24"/>
          <w:szCs w:val="24"/>
        </w:rPr>
        <w:t>的依法缴纳税收的证明材料复印件（至少包括增值税和企业所得税，如依法免税的提供相应证明文件复印件、如零缴纳的提供税务部门证明材料复印件）</w:t>
      </w:r>
      <w:r>
        <w:rPr>
          <w:rFonts w:hint="eastAsia" w:ascii="宋体" w:hAnsi="宋体"/>
          <w:color w:val="000000"/>
          <w:sz w:val="24"/>
          <w:szCs w:val="24"/>
        </w:rPr>
        <w:t>；</w:t>
      </w:r>
    </w:p>
    <w:p w14:paraId="3EDF4142">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D.</w:t>
      </w:r>
      <w:r>
        <w:rPr>
          <w:rFonts w:hint="eastAsia" w:ascii="宋体" w:hAnsi="宋体"/>
          <w:sz w:val="24"/>
          <w:szCs w:val="24"/>
        </w:rPr>
        <w:t>缴费所属期为202</w:t>
      </w:r>
      <w:r>
        <w:rPr>
          <w:rFonts w:hint="eastAsia" w:ascii="宋体" w:hAnsi="宋体"/>
          <w:sz w:val="24"/>
          <w:szCs w:val="24"/>
          <w:lang w:val="en-US" w:eastAsia="zh-CN"/>
        </w:rPr>
        <w:t>5</w:t>
      </w:r>
      <w:r>
        <w:rPr>
          <w:rFonts w:hint="eastAsia" w:ascii="宋体" w:hAnsi="宋体"/>
          <w:sz w:val="24"/>
          <w:szCs w:val="24"/>
        </w:rPr>
        <w:t>年1月1日至今任意月的依法缴纳社会保障资金的缴纳凭证或证明材料复印件（如依法不需要缴纳社保的，提供相应证明文件复印件）；</w:t>
      </w:r>
    </w:p>
    <w:p w14:paraId="68D723B2">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E．法定代表人身份证明书</w:t>
      </w:r>
      <w:r>
        <w:rPr>
          <w:rFonts w:hint="eastAsia" w:ascii="宋体" w:hAnsi="宋体"/>
          <w:sz w:val="24"/>
          <w:szCs w:val="24"/>
          <w:lang w:bidi="ar"/>
        </w:rPr>
        <w:t>原件</w:t>
      </w:r>
      <w:r>
        <w:rPr>
          <w:rFonts w:hint="eastAsia" w:ascii="宋体" w:hAnsi="宋体"/>
          <w:color w:val="000000"/>
          <w:sz w:val="24"/>
          <w:szCs w:val="24"/>
        </w:rPr>
        <w:t>和</w:t>
      </w:r>
      <w:r>
        <w:rPr>
          <w:rFonts w:hint="eastAsia" w:ascii="宋体" w:hAnsi="宋体"/>
          <w:sz w:val="24"/>
          <w:szCs w:val="24"/>
          <w:lang w:bidi="ar"/>
        </w:rPr>
        <w:t>授权委托书原件（法定代表人参加投标的，不需要提供授权委托书原件）</w:t>
      </w:r>
      <w:r>
        <w:rPr>
          <w:rFonts w:hint="eastAsia" w:ascii="宋体" w:hAnsi="宋体"/>
          <w:color w:val="000000"/>
          <w:kern w:val="18"/>
          <w:sz w:val="24"/>
          <w:szCs w:val="24"/>
        </w:rPr>
        <w:t>；</w:t>
      </w:r>
    </w:p>
    <w:p w14:paraId="42C5F00E">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s="宋体"/>
          <w:color w:val="000000"/>
          <w:sz w:val="24"/>
          <w:szCs w:val="24"/>
          <w:lang w:bidi="ar"/>
        </w:rPr>
      </w:pPr>
      <w:r>
        <w:rPr>
          <w:rFonts w:hint="eastAsia" w:ascii="宋体" w:hAnsi="宋体" w:cs="宋体"/>
          <w:color w:val="000000"/>
          <w:sz w:val="24"/>
          <w:szCs w:val="24"/>
          <w:lang w:bidi="ar"/>
        </w:rPr>
        <w:t>F．</w:t>
      </w:r>
      <w:r>
        <w:rPr>
          <w:rFonts w:hint="eastAsia" w:ascii="宋体"/>
          <w:sz w:val="24"/>
          <w:szCs w:val="24"/>
        </w:rPr>
        <w:t>供应商参加本次政府采购活动前3年内无重大违法记录和政府采购严重违法失信行为的书面声明</w:t>
      </w:r>
      <w:r>
        <w:rPr>
          <w:rFonts w:hint="eastAsia" w:ascii="宋体" w:hAnsi="宋体" w:cs="宋体"/>
          <w:color w:val="000000"/>
          <w:sz w:val="24"/>
          <w:szCs w:val="24"/>
          <w:lang w:bidi="ar"/>
        </w:rPr>
        <w:t>；</w:t>
      </w:r>
    </w:p>
    <w:p w14:paraId="1F814D8D">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s="宋体"/>
          <w:color w:val="000000"/>
          <w:sz w:val="24"/>
          <w:szCs w:val="24"/>
          <w:lang w:bidi="ar"/>
        </w:rPr>
        <w:t>G．</w:t>
      </w:r>
      <w:r>
        <w:rPr>
          <w:rFonts w:hint="eastAsia" w:ascii="宋体"/>
          <w:sz w:val="24"/>
          <w:szCs w:val="24"/>
        </w:rPr>
        <w:t>投标人在“信用中国”（www.creditchina.gov.cn）系统中未被列入失信被执行人名单、重大税收违法案件当事人名单及政府采购严重违法失信名单；投标人在“中国政府采购网（www.ccgp.gov.cn）系统中未被列入政府采购严重违法失信行为记录名单（由采购人或者采购招标人将对投标人信用记录进行现场查询和甄别</w:t>
      </w:r>
      <w:r>
        <w:rPr>
          <w:rFonts w:hint="eastAsia" w:ascii="宋体" w:hAnsi="宋体" w:cs="宋体"/>
          <w:color w:val="000000"/>
          <w:sz w:val="24"/>
          <w:szCs w:val="24"/>
          <w:lang w:bidi="ar"/>
        </w:rPr>
        <w:t>）。</w:t>
      </w:r>
    </w:p>
    <w:p w14:paraId="287A74DD">
      <w:pPr>
        <w:pageBreakBefore w:val="0"/>
        <w:kinsoku/>
        <w:wordWrap/>
        <w:overflowPunct/>
        <w:topLinePunct w:val="0"/>
        <w:autoSpaceDE/>
        <w:autoSpaceDN/>
        <w:bidi w:val="0"/>
        <w:adjustRightInd/>
        <w:snapToGrid/>
        <w:spacing w:line="560" w:lineRule="exact"/>
        <w:jc w:val="left"/>
        <w:textAlignment w:val="auto"/>
        <w:rPr>
          <w:rFonts w:hint="eastAsia" w:ascii="宋体" w:hAnsi="宋体"/>
          <w:color w:val="000000"/>
          <w:sz w:val="24"/>
          <w:szCs w:val="24"/>
        </w:rPr>
      </w:pPr>
    </w:p>
    <w:p w14:paraId="5C5D8229">
      <w:pPr>
        <w:pageBreakBefore w:val="0"/>
        <w:kinsoku/>
        <w:wordWrap/>
        <w:overflowPunct/>
        <w:topLinePunct w:val="0"/>
        <w:autoSpaceDE/>
        <w:autoSpaceDN/>
        <w:bidi w:val="0"/>
        <w:adjustRightInd/>
        <w:snapToGrid/>
        <w:spacing w:line="560" w:lineRule="exact"/>
        <w:jc w:val="both"/>
        <w:textAlignment w:val="auto"/>
        <w:outlineLvl w:val="9"/>
        <w:rPr>
          <w:rFonts w:hint="eastAsia"/>
        </w:rPr>
      </w:pPr>
    </w:p>
    <w:p w14:paraId="0B5B1931">
      <w:pPr>
        <w:pageBreakBefore w:val="0"/>
        <w:kinsoku/>
        <w:wordWrap/>
        <w:overflowPunct/>
        <w:topLinePunct w:val="0"/>
        <w:autoSpaceDE/>
        <w:autoSpaceDN/>
        <w:bidi w:val="0"/>
        <w:adjustRightInd/>
        <w:snapToGrid/>
        <w:spacing w:line="560" w:lineRule="exact"/>
        <w:textAlignment w:val="auto"/>
        <w:rPr>
          <w:rFonts w:hint="eastAsia"/>
        </w:rPr>
      </w:pPr>
    </w:p>
    <w:p w14:paraId="68A78B60">
      <w:pPr>
        <w:pStyle w:val="3"/>
        <w:pageBreakBefore w:val="0"/>
        <w:kinsoku/>
        <w:wordWrap/>
        <w:overflowPunct/>
        <w:topLinePunct w:val="0"/>
        <w:autoSpaceDE/>
        <w:autoSpaceDN/>
        <w:bidi w:val="0"/>
        <w:adjustRightInd/>
        <w:snapToGrid/>
        <w:spacing w:line="560" w:lineRule="exact"/>
        <w:textAlignment w:val="auto"/>
        <w:rPr>
          <w:rFonts w:hint="eastAsia"/>
          <w:color w:val="000000"/>
          <w:sz w:val="24"/>
          <w:szCs w:val="24"/>
        </w:rPr>
      </w:pPr>
      <w:bookmarkStart w:id="60" w:name="_Toc4839"/>
      <w:bookmarkStart w:id="61" w:name="_Toc321044655"/>
      <w:r>
        <w:rPr>
          <w:rFonts w:hint="eastAsia"/>
          <w:color w:val="000000"/>
          <w:sz w:val="24"/>
          <w:szCs w:val="24"/>
        </w:rPr>
        <w:t>法定代表人身份证明书格式</w:t>
      </w:r>
      <w:bookmarkEnd w:id="60"/>
      <w:bookmarkEnd w:id="61"/>
    </w:p>
    <w:p w14:paraId="2D27E9C6">
      <w:pPr>
        <w:pageBreakBefore w:val="0"/>
        <w:kinsoku/>
        <w:wordWrap/>
        <w:overflowPunct/>
        <w:topLinePunct w:val="0"/>
        <w:autoSpaceDE/>
        <w:autoSpaceDN/>
        <w:bidi w:val="0"/>
        <w:adjustRightInd/>
        <w:snapToGrid/>
        <w:spacing w:line="560" w:lineRule="exact"/>
        <w:ind w:firstLine="437"/>
        <w:textAlignment w:val="auto"/>
        <w:rPr>
          <w:rFonts w:hint="eastAsia" w:ascii="宋体" w:hAnsi="宋体"/>
          <w:color w:val="000000"/>
          <w:sz w:val="24"/>
          <w:szCs w:val="24"/>
        </w:rPr>
      </w:pPr>
    </w:p>
    <w:p w14:paraId="58DE5F46">
      <w:pPr>
        <w:pageBreakBefore w:val="0"/>
        <w:kinsoku/>
        <w:wordWrap/>
        <w:overflowPunct/>
        <w:topLinePunct w:val="0"/>
        <w:autoSpaceDE/>
        <w:autoSpaceDN/>
        <w:bidi w:val="0"/>
        <w:adjustRightInd/>
        <w:snapToGrid/>
        <w:spacing w:line="560" w:lineRule="exact"/>
        <w:ind w:firstLine="437"/>
        <w:jc w:val="center"/>
        <w:textAlignment w:val="auto"/>
        <w:rPr>
          <w:rFonts w:hint="eastAsia" w:ascii="宋体" w:hAnsi="宋体"/>
          <w:b/>
          <w:color w:val="000000"/>
          <w:sz w:val="24"/>
          <w:szCs w:val="24"/>
        </w:rPr>
      </w:pPr>
      <w:r>
        <w:rPr>
          <w:rFonts w:hint="eastAsia" w:ascii="宋体" w:hAnsi="宋体"/>
          <w:b/>
          <w:color w:val="000000"/>
          <w:sz w:val="24"/>
          <w:szCs w:val="24"/>
        </w:rPr>
        <w:t>法定代表人身份证明书</w:t>
      </w:r>
    </w:p>
    <w:p w14:paraId="2A00DBBC">
      <w:pPr>
        <w:pageBreakBefore w:val="0"/>
        <w:kinsoku/>
        <w:wordWrap/>
        <w:overflowPunct/>
        <w:topLinePunct w:val="0"/>
        <w:autoSpaceDE/>
        <w:autoSpaceDN/>
        <w:bidi w:val="0"/>
        <w:adjustRightInd/>
        <w:snapToGrid/>
        <w:spacing w:line="560" w:lineRule="exact"/>
        <w:ind w:firstLine="437"/>
        <w:jc w:val="center"/>
        <w:textAlignment w:val="auto"/>
        <w:rPr>
          <w:rFonts w:hint="eastAsia" w:ascii="宋体" w:hAnsi="宋体"/>
          <w:b/>
          <w:color w:val="000000"/>
          <w:sz w:val="24"/>
          <w:szCs w:val="24"/>
        </w:rPr>
      </w:pPr>
    </w:p>
    <w:p w14:paraId="5E0C5216">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lang w:val="en-US" w:eastAsia="zh-CN"/>
        </w:rPr>
        <w:t>张家口霖辉物业管理集团有限公司</w:t>
      </w:r>
      <w:r>
        <w:rPr>
          <w:rFonts w:hint="eastAsia" w:ascii="宋体" w:hAnsi="宋体"/>
          <w:color w:val="000000"/>
          <w:sz w:val="24"/>
          <w:szCs w:val="24"/>
        </w:rPr>
        <w:t>：</w:t>
      </w:r>
    </w:p>
    <w:p w14:paraId="3F5EF693">
      <w:pPr>
        <w:pageBreakBefore w:val="0"/>
        <w:kinsoku/>
        <w:wordWrap/>
        <w:overflowPunct/>
        <w:topLinePunct w:val="0"/>
        <w:autoSpaceDE/>
        <w:autoSpaceDN/>
        <w:bidi w:val="0"/>
        <w:adjustRightInd/>
        <w:snapToGrid/>
        <w:spacing w:line="560" w:lineRule="exact"/>
        <w:ind w:firstLine="437"/>
        <w:textAlignment w:val="auto"/>
        <w:rPr>
          <w:rFonts w:hint="eastAsia" w:ascii="宋体" w:hAnsi="宋体"/>
          <w:color w:val="000000"/>
          <w:sz w:val="24"/>
          <w:szCs w:val="24"/>
        </w:rPr>
      </w:pP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u w:val="single"/>
        </w:rPr>
        <w:t>先</w:t>
      </w:r>
      <w:r>
        <w:rPr>
          <w:rFonts w:hint="eastAsia" w:asciiTheme="minorEastAsia" w:hAnsiTheme="minorEastAsia" w:eastAsiaTheme="minorEastAsia" w:cstheme="minorEastAsia"/>
          <w:color w:val="000000"/>
          <w:sz w:val="24"/>
          <w:szCs w:val="24"/>
        </w:rPr>
        <w:t>生（女士）</w:t>
      </w:r>
      <w:r>
        <w:rPr>
          <w:rFonts w:hint="eastAsia" w:ascii="宋体" w:hAnsi="宋体"/>
          <w:color w:val="000000"/>
          <w:sz w:val="24"/>
          <w:szCs w:val="24"/>
        </w:rPr>
        <w:t>，在我单位任职务，是我单位的法定代表人。</w:t>
      </w:r>
    </w:p>
    <w:p w14:paraId="4C232AFA">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rPr>
        <w:t>特此证明</w:t>
      </w:r>
    </w:p>
    <w:p w14:paraId="49D8C010">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37327F4E">
      <w:pPr>
        <w:pageBreakBefore w:val="0"/>
        <w:kinsoku/>
        <w:wordWrap/>
        <w:overflowPunct/>
        <w:topLinePunct w:val="0"/>
        <w:autoSpaceDE/>
        <w:autoSpaceDN/>
        <w:bidi w:val="0"/>
        <w:adjustRightInd/>
        <w:snapToGrid/>
        <w:spacing w:line="560" w:lineRule="exac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身份证号码：</w:t>
      </w:r>
    </w:p>
    <w:p w14:paraId="2B6A3D14">
      <w:pPr>
        <w:pageBreakBefore w:val="0"/>
        <w:kinsoku/>
        <w:wordWrap/>
        <w:overflowPunct/>
        <w:topLinePunct w:val="0"/>
        <w:autoSpaceDE/>
        <w:autoSpaceDN/>
        <w:bidi w:val="0"/>
        <w:adjustRightInd/>
        <w:snapToGrid/>
        <w:spacing w:line="560" w:lineRule="exact"/>
        <w:textAlignment w:val="auto"/>
        <w:outlineLvl w:val="9"/>
        <w:rPr>
          <w:rFonts w:hint="eastAsia"/>
          <w:sz w:val="24"/>
          <w:szCs w:val="24"/>
        </w:rPr>
      </w:pP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3"/>
      </w:tblGrid>
      <w:tr w14:paraId="7ACF3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5" w:hRule="atLeast"/>
          <w:jc w:val="center"/>
        </w:trPr>
        <w:tc>
          <w:tcPr>
            <w:tcW w:w="7043" w:type="dxa"/>
            <w:tcBorders>
              <w:top w:val="single" w:color="auto" w:sz="4" w:space="0"/>
              <w:left w:val="single" w:color="auto" w:sz="4" w:space="0"/>
              <w:bottom w:val="single" w:color="auto" w:sz="4" w:space="0"/>
              <w:right w:val="single" w:color="auto" w:sz="4" w:space="0"/>
            </w:tcBorders>
            <w:noWrap w:val="0"/>
            <w:vAlign w:val="top"/>
          </w:tcPr>
          <w:p w14:paraId="69B6B171">
            <w:pPr>
              <w:pageBreakBefore w:val="0"/>
              <w:widowControl/>
              <w:kinsoku/>
              <w:wordWrap/>
              <w:overflowPunct/>
              <w:topLinePunct w:val="0"/>
              <w:autoSpaceDE/>
              <w:autoSpaceDN/>
              <w:bidi w:val="0"/>
              <w:adjustRightInd/>
              <w:snapToGrid/>
              <w:spacing w:line="560" w:lineRule="exact"/>
              <w:jc w:val="left"/>
              <w:textAlignment w:val="auto"/>
              <w:rPr>
                <w:rFonts w:hint="eastAsia" w:ascii="宋体" w:eastAsia="宋体" w:cs="宋体"/>
                <w:bCs/>
                <w:sz w:val="24"/>
                <w:szCs w:val="24"/>
              </w:rPr>
            </w:pPr>
          </w:p>
          <w:p w14:paraId="043BEBD5">
            <w:pPr>
              <w:pageBreakBefore w:val="0"/>
              <w:widowControl/>
              <w:kinsoku/>
              <w:wordWrap/>
              <w:overflowPunct/>
              <w:topLinePunct w:val="0"/>
              <w:autoSpaceDE/>
              <w:autoSpaceDN/>
              <w:bidi w:val="0"/>
              <w:adjustRightInd/>
              <w:snapToGrid/>
              <w:spacing w:line="560" w:lineRule="exact"/>
              <w:jc w:val="center"/>
              <w:textAlignment w:val="auto"/>
              <w:rPr>
                <w:rFonts w:hint="eastAsia" w:ascii="宋体" w:eastAsia="宋体" w:cs="宋体"/>
                <w:bCs/>
                <w:sz w:val="24"/>
                <w:szCs w:val="24"/>
              </w:rPr>
            </w:pPr>
          </w:p>
          <w:p w14:paraId="082E91DD">
            <w:pPr>
              <w:pageBreakBefore w:val="0"/>
              <w:widowControl/>
              <w:kinsoku/>
              <w:wordWrap/>
              <w:overflowPunct/>
              <w:topLinePunct w:val="0"/>
              <w:autoSpaceDE/>
              <w:autoSpaceDN/>
              <w:bidi w:val="0"/>
              <w:adjustRightInd/>
              <w:snapToGrid/>
              <w:spacing w:line="560" w:lineRule="exact"/>
              <w:jc w:val="center"/>
              <w:textAlignment w:val="auto"/>
              <w:rPr>
                <w:rFonts w:hint="eastAsia" w:ascii="宋体" w:eastAsia="宋体" w:cs="宋体"/>
                <w:bCs/>
                <w:sz w:val="24"/>
                <w:szCs w:val="24"/>
              </w:rPr>
            </w:pPr>
          </w:p>
          <w:p w14:paraId="0188CAD9">
            <w:pPr>
              <w:pageBreakBefore w:val="0"/>
              <w:widowControl/>
              <w:kinsoku/>
              <w:wordWrap/>
              <w:overflowPunct/>
              <w:topLinePunct w:val="0"/>
              <w:autoSpaceDE/>
              <w:autoSpaceDN/>
              <w:bidi w:val="0"/>
              <w:adjustRightInd/>
              <w:snapToGrid/>
              <w:spacing w:line="560" w:lineRule="exact"/>
              <w:jc w:val="left"/>
              <w:textAlignment w:val="auto"/>
              <w:rPr>
                <w:rFonts w:hint="eastAsia" w:ascii="宋体" w:eastAsia="宋体" w:cs="宋体"/>
                <w:bCs/>
                <w:sz w:val="24"/>
                <w:szCs w:val="24"/>
              </w:rPr>
            </w:pPr>
          </w:p>
          <w:p w14:paraId="5F9F4B1E">
            <w:pPr>
              <w:pageBreakBefore w:val="0"/>
              <w:widowControl/>
              <w:kinsoku/>
              <w:wordWrap/>
              <w:overflowPunct/>
              <w:topLinePunct w:val="0"/>
              <w:autoSpaceDE/>
              <w:autoSpaceDN/>
              <w:bidi w:val="0"/>
              <w:adjustRightInd/>
              <w:snapToGrid/>
              <w:spacing w:line="560" w:lineRule="exact"/>
              <w:jc w:val="center"/>
              <w:textAlignment w:val="auto"/>
              <w:rPr>
                <w:rFonts w:hint="eastAsia" w:ascii="宋体" w:eastAsia="宋体" w:cs="宋体"/>
                <w:bCs/>
                <w:sz w:val="24"/>
                <w:szCs w:val="24"/>
              </w:rPr>
            </w:pPr>
            <w:r>
              <w:rPr>
                <w:rFonts w:hint="eastAsia" w:ascii="宋体" w:hAnsi="宋体" w:eastAsia="宋体" w:cs="宋体"/>
                <w:bCs/>
                <w:kern w:val="0"/>
                <w:sz w:val="24"/>
                <w:szCs w:val="24"/>
                <w:lang w:bidi="ar"/>
              </w:rPr>
              <w:t>二代身份证，须同时提供正、反两面复印件</w:t>
            </w:r>
          </w:p>
          <w:p w14:paraId="1D8238F5">
            <w:pPr>
              <w:pageBreakBefore w:val="0"/>
              <w:widowControl/>
              <w:kinsoku/>
              <w:wordWrap/>
              <w:overflowPunct/>
              <w:topLinePunct w:val="0"/>
              <w:autoSpaceDE/>
              <w:autoSpaceDN/>
              <w:bidi w:val="0"/>
              <w:adjustRightInd/>
              <w:snapToGrid/>
              <w:spacing w:line="560" w:lineRule="exact"/>
              <w:jc w:val="left"/>
              <w:textAlignment w:val="auto"/>
              <w:rPr>
                <w:rFonts w:hint="eastAsia" w:ascii="宋体" w:eastAsia="宋体" w:cs="宋体"/>
                <w:bCs/>
                <w:sz w:val="24"/>
                <w:szCs w:val="24"/>
              </w:rPr>
            </w:pPr>
          </w:p>
          <w:p w14:paraId="757E1DBF">
            <w:pPr>
              <w:pageBreakBefore w:val="0"/>
              <w:widowControl/>
              <w:kinsoku/>
              <w:wordWrap/>
              <w:overflowPunct/>
              <w:topLinePunct w:val="0"/>
              <w:autoSpaceDE/>
              <w:autoSpaceDN/>
              <w:bidi w:val="0"/>
              <w:adjustRightInd/>
              <w:snapToGrid/>
              <w:spacing w:line="560" w:lineRule="exact"/>
              <w:jc w:val="left"/>
              <w:textAlignment w:val="auto"/>
              <w:rPr>
                <w:rFonts w:hint="eastAsia" w:ascii="宋体" w:eastAsia="宋体" w:cs="宋体"/>
                <w:bCs/>
                <w:sz w:val="24"/>
                <w:szCs w:val="24"/>
              </w:rPr>
            </w:pPr>
          </w:p>
          <w:p w14:paraId="45E2D693">
            <w:pPr>
              <w:pageBreakBefore w:val="0"/>
              <w:widowControl/>
              <w:kinsoku/>
              <w:wordWrap/>
              <w:overflowPunct/>
              <w:topLinePunct w:val="0"/>
              <w:autoSpaceDE/>
              <w:autoSpaceDN/>
              <w:bidi w:val="0"/>
              <w:adjustRightInd/>
              <w:snapToGrid/>
              <w:spacing w:line="560" w:lineRule="exact"/>
              <w:jc w:val="left"/>
              <w:textAlignment w:val="auto"/>
              <w:rPr>
                <w:rFonts w:hint="eastAsia" w:ascii="宋体" w:eastAsia="宋体" w:cs="宋体"/>
                <w:bCs/>
                <w:sz w:val="24"/>
                <w:szCs w:val="24"/>
              </w:rPr>
            </w:pPr>
          </w:p>
        </w:tc>
      </w:tr>
    </w:tbl>
    <w:p w14:paraId="1743B625">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08333B32">
      <w:pPr>
        <w:pageBreakBefore w:val="0"/>
        <w:kinsoku/>
        <w:wordWrap/>
        <w:overflowPunct/>
        <w:topLinePunct w:val="0"/>
        <w:autoSpaceDE/>
        <w:autoSpaceDN/>
        <w:bidi w:val="0"/>
        <w:adjustRightInd/>
        <w:snapToGrid/>
        <w:spacing w:line="560" w:lineRule="exact"/>
        <w:ind w:firstLine="240" w:firstLineChars="100"/>
        <w:textAlignment w:val="auto"/>
        <w:rPr>
          <w:rFonts w:hint="eastAsia" w:ascii="宋体" w:hAnsi="宋体"/>
          <w:color w:val="000000"/>
          <w:sz w:val="24"/>
          <w:szCs w:val="24"/>
        </w:rPr>
      </w:pPr>
      <w:r>
        <w:rPr>
          <w:rFonts w:hint="eastAsia" w:ascii="宋体" w:hAnsi="宋体"/>
          <w:color w:val="000000"/>
          <w:sz w:val="24"/>
          <w:szCs w:val="24"/>
        </w:rPr>
        <w:t>供应商全称（公章）：</w:t>
      </w:r>
    </w:p>
    <w:p w14:paraId="34BA4465">
      <w:pPr>
        <w:pageBreakBefore w:val="0"/>
        <w:kinsoku/>
        <w:wordWrap/>
        <w:overflowPunct/>
        <w:topLinePunct w:val="0"/>
        <w:autoSpaceDE/>
        <w:autoSpaceDN/>
        <w:bidi w:val="0"/>
        <w:adjustRightInd/>
        <w:snapToGrid/>
        <w:spacing w:line="560" w:lineRule="exact"/>
        <w:ind w:firstLine="240" w:firstLineChars="100"/>
        <w:textAlignment w:val="auto"/>
        <w:rPr>
          <w:rFonts w:hint="eastAsia" w:ascii="宋体" w:hAnsi="宋体"/>
          <w:color w:val="000000"/>
          <w:sz w:val="24"/>
          <w:szCs w:val="24"/>
        </w:rPr>
      </w:pPr>
    </w:p>
    <w:p w14:paraId="04C33961">
      <w:pPr>
        <w:pageBreakBefore w:val="0"/>
        <w:kinsoku/>
        <w:wordWrap/>
        <w:overflowPunct/>
        <w:topLinePunct w:val="0"/>
        <w:autoSpaceDE/>
        <w:autoSpaceDN/>
        <w:bidi w:val="0"/>
        <w:adjustRightInd/>
        <w:snapToGrid/>
        <w:spacing w:line="560" w:lineRule="exact"/>
        <w:ind w:firstLine="240" w:firstLineChars="100"/>
        <w:textAlignment w:val="auto"/>
        <w:rPr>
          <w:rFonts w:hint="eastAsia" w:ascii="宋体" w:hAnsi="宋体"/>
          <w:color w:val="000000"/>
          <w:sz w:val="24"/>
          <w:szCs w:val="24"/>
        </w:rPr>
      </w:pPr>
      <w:r>
        <w:rPr>
          <w:rFonts w:hint="eastAsia" w:ascii="宋体" w:hAnsi="宋体"/>
          <w:color w:val="000000"/>
          <w:sz w:val="24"/>
          <w:szCs w:val="24"/>
        </w:rPr>
        <w:t>法定代表人（签字）：</w:t>
      </w:r>
    </w:p>
    <w:p w14:paraId="7F797E5B">
      <w:pPr>
        <w:pageBreakBefore w:val="0"/>
        <w:kinsoku/>
        <w:wordWrap/>
        <w:overflowPunct/>
        <w:topLinePunct w:val="0"/>
        <w:autoSpaceDE/>
        <w:autoSpaceDN/>
        <w:bidi w:val="0"/>
        <w:adjustRightInd/>
        <w:snapToGrid/>
        <w:spacing w:line="560" w:lineRule="exact"/>
        <w:ind w:firstLine="240" w:firstLineChars="100"/>
        <w:textAlignment w:val="auto"/>
        <w:rPr>
          <w:rFonts w:hint="eastAsia" w:ascii="宋体" w:hAnsi="宋体"/>
          <w:color w:val="000000"/>
          <w:sz w:val="24"/>
          <w:szCs w:val="24"/>
        </w:rPr>
      </w:pPr>
    </w:p>
    <w:p w14:paraId="2EBFCEE1">
      <w:pPr>
        <w:pageBreakBefore w:val="0"/>
        <w:tabs>
          <w:tab w:val="left" w:pos="5760"/>
        </w:tabs>
        <w:kinsoku/>
        <w:wordWrap/>
        <w:overflowPunct/>
        <w:topLinePunct w:val="0"/>
        <w:autoSpaceDE/>
        <w:autoSpaceDN/>
        <w:bidi w:val="0"/>
        <w:adjustRightInd/>
        <w:snapToGrid/>
        <w:spacing w:line="560" w:lineRule="exact"/>
        <w:ind w:firstLine="240" w:firstLineChars="100"/>
        <w:jc w:val="left"/>
        <w:textAlignment w:val="auto"/>
        <w:rPr>
          <w:rFonts w:hint="eastAsia" w:ascii="宋体" w:hAnsi="宋体"/>
          <w:color w:val="000000"/>
          <w:sz w:val="24"/>
          <w:szCs w:val="24"/>
        </w:rPr>
      </w:pPr>
      <w:r>
        <w:rPr>
          <w:rFonts w:hint="eastAsia" w:ascii="宋体" w:hAnsi="宋体"/>
          <w:color w:val="000000"/>
          <w:sz w:val="24"/>
          <w:szCs w:val="24"/>
        </w:rPr>
        <w:t>年月日</w:t>
      </w:r>
    </w:p>
    <w:p w14:paraId="7721ED73">
      <w:pPr>
        <w:pageBreakBefore w:val="0"/>
        <w:kinsoku/>
        <w:wordWrap/>
        <w:overflowPunct/>
        <w:topLinePunct w:val="0"/>
        <w:autoSpaceDE/>
        <w:autoSpaceDN/>
        <w:bidi w:val="0"/>
        <w:adjustRightInd/>
        <w:snapToGrid/>
        <w:spacing w:line="560" w:lineRule="exact"/>
        <w:textAlignment w:val="auto"/>
        <w:rPr>
          <w:rFonts w:hint="eastAsia"/>
          <w:color w:val="000000"/>
        </w:rPr>
      </w:pPr>
      <w:bookmarkStart w:id="62" w:name="_Toc321044656"/>
      <w:bookmarkStart w:id="63" w:name="_Toc27978"/>
    </w:p>
    <w:p w14:paraId="108DB3B0">
      <w:pPr>
        <w:pStyle w:val="3"/>
        <w:pageBreakBefore w:val="0"/>
        <w:kinsoku/>
        <w:wordWrap/>
        <w:overflowPunct/>
        <w:topLinePunct w:val="0"/>
        <w:autoSpaceDE/>
        <w:autoSpaceDN/>
        <w:bidi w:val="0"/>
        <w:adjustRightInd/>
        <w:snapToGrid/>
        <w:spacing w:line="560" w:lineRule="exact"/>
        <w:textAlignment w:val="auto"/>
        <w:rPr>
          <w:rFonts w:hint="eastAsia"/>
          <w:color w:val="000000"/>
          <w:sz w:val="24"/>
          <w:szCs w:val="24"/>
        </w:rPr>
      </w:pPr>
      <w:r>
        <w:rPr>
          <w:rFonts w:hint="eastAsia"/>
          <w:color w:val="000000"/>
          <w:sz w:val="24"/>
          <w:szCs w:val="24"/>
        </w:rPr>
        <w:t>法定代表人授权委托书格式</w:t>
      </w:r>
      <w:bookmarkEnd w:id="62"/>
      <w:bookmarkEnd w:id="63"/>
    </w:p>
    <w:p w14:paraId="68FF1C43">
      <w:pPr>
        <w:pageBreakBefore w:val="0"/>
        <w:kinsoku/>
        <w:wordWrap/>
        <w:overflowPunct/>
        <w:topLinePunct w:val="0"/>
        <w:autoSpaceDE/>
        <w:autoSpaceDN/>
        <w:bidi w:val="0"/>
        <w:adjustRightInd/>
        <w:snapToGrid/>
        <w:spacing w:line="560" w:lineRule="exact"/>
        <w:jc w:val="center"/>
        <w:textAlignment w:val="auto"/>
        <w:rPr>
          <w:rFonts w:hint="eastAsia" w:ascii="宋体" w:hAnsi="宋体"/>
          <w:b/>
          <w:color w:val="000000"/>
          <w:sz w:val="24"/>
          <w:szCs w:val="24"/>
        </w:rPr>
      </w:pPr>
    </w:p>
    <w:p w14:paraId="613A6795">
      <w:pPr>
        <w:pageBreakBefore w:val="0"/>
        <w:kinsoku/>
        <w:wordWrap/>
        <w:overflowPunct/>
        <w:topLinePunct w:val="0"/>
        <w:autoSpaceDE/>
        <w:autoSpaceDN/>
        <w:bidi w:val="0"/>
        <w:adjustRightInd/>
        <w:snapToGrid/>
        <w:spacing w:line="560" w:lineRule="exact"/>
        <w:jc w:val="center"/>
        <w:textAlignment w:val="auto"/>
        <w:rPr>
          <w:rFonts w:hint="eastAsia" w:ascii="宋体" w:hAnsi="宋体"/>
          <w:b/>
          <w:color w:val="000000"/>
          <w:sz w:val="24"/>
          <w:szCs w:val="24"/>
        </w:rPr>
      </w:pPr>
      <w:r>
        <w:rPr>
          <w:rFonts w:hint="eastAsia" w:ascii="宋体" w:hAnsi="宋体"/>
          <w:b/>
          <w:color w:val="000000"/>
          <w:sz w:val="24"/>
          <w:szCs w:val="24"/>
        </w:rPr>
        <w:t>法定代表人授权委托书</w:t>
      </w:r>
    </w:p>
    <w:p w14:paraId="070B9FE3">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4F11C3F6">
      <w:pPr>
        <w:pageBreakBefore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兹委托</w:t>
      </w: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u w:val="single"/>
        </w:rPr>
        <w:t>(姓名)</w:t>
      </w:r>
      <w:r>
        <w:rPr>
          <w:rFonts w:hint="eastAsia" w:asciiTheme="minorEastAsia" w:hAnsiTheme="minorEastAsia" w:eastAsiaTheme="minorEastAsia" w:cstheme="minorEastAsia"/>
          <w:color w:val="000000"/>
          <w:sz w:val="24"/>
          <w:szCs w:val="24"/>
        </w:rPr>
        <w:t>先生（女士）为我单位参加</w:t>
      </w:r>
      <w:r>
        <w:rPr>
          <w:rFonts w:hint="eastAsia" w:asciiTheme="minorEastAsia" w:hAnsiTheme="minorEastAsia" w:eastAsiaTheme="minorEastAsia" w:cstheme="minorEastAsia"/>
          <w:color w:val="000000"/>
          <w:sz w:val="24"/>
          <w:szCs w:val="24"/>
          <w:u w:val="single"/>
          <w:lang w:val="en-US" w:eastAsia="zh-CN"/>
        </w:rPr>
        <w:t>张家口霖辉物业管理集团有限公司</w:t>
      </w:r>
      <w:r>
        <w:rPr>
          <w:rFonts w:hint="eastAsia" w:asciiTheme="minorEastAsia" w:hAnsiTheme="minorEastAsia" w:eastAsiaTheme="minorEastAsia" w:cstheme="minorEastAsia"/>
          <w:color w:val="000000"/>
          <w:sz w:val="24"/>
          <w:szCs w:val="24"/>
        </w:rPr>
        <w:t>组织的</w:t>
      </w: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highlight w:val="none"/>
          <w:u w:val="single"/>
          <w:lang w:val="en-US" w:eastAsia="zh-CN"/>
        </w:rPr>
        <w:t>项目</w:t>
      </w:r>
      <w:r>
        <w:rPr>
          <w:rFonts w:hint="eastAsia" w:asciiTheme="minorEastAsia" w:hAnsiTheme="minorEastAsia" w:eastAsiaTheme="minorEastAsia" w:cstheme="minorEastAsia"/>
          <w:color w:val="000000"/>
          <w:sz w:val="24"/>
          <w:szCs w:val="24"/>
        </w:rPr>
        <w:t>询比采购文件（</w:t>
      </w:r>
      <w:r>
        <w:rPr>
          <w:rFonts w:hint="eastAsia" w:asciiTheme="minorEastAsia" w:hAnsiTheme="minorEastAsia" w:eastAsiaTheme="minorEastAsia" w:cstheme="minorEastAsia"/>
          <w:color w:val="000000"/>
          <w:sz w:val="24"/>
          <w:szCs w:val="24"/>
          <w:u w:val="single"/>
        </w:rPr>
        <w:t>项目编号：</w:t>
      </w: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rPr>
        <w:t>）的投标代理人,其代理权限为：封标、投标、澄清、答疑、开标、交纳保证金、签署合同、结算、售后服务。</w:t>
      </w:r>
    </w:p>
    <w:p w14:paraId="1716E079">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rPr>
        <w:t>代理期限从年月日至年月日止</w:t>
      </w:r>
    </w:p>
    <w:p w14:paraId="454C252A">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rPr>
        <w:t>附投标代理人情况：</w:t>
      </w:r>
    </w:p>
    <w:p w14:paraId="20FCB8E8">
      <w:pPr>
        <w:pageBreakBefore w:val="0"/>
        <w:kinsoku/>
        <w:wordWrap/>
        <w:overflowPunct/>
        <w:topLinePunct w:val="0"/>
        <w:autoSpaceDE/>
        <w:autoSpaceDN/>
        <w:bidi w:val="0"/>
        <w:adjustRightInd/>
        <w:snapToGrid/>
        <w:spacing w:line="560" w:lineRule="exac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姓名：性别年龄：职务：</w:t>
      </w:r>
    </w:p>
    <w:p w14:paraId="4B5BE555">
      <w:pPr>
        <w:pageBreakBefore w:val="0"/>
        <w:kinsoku/>
        <w:wordWrap/>
        <w:overflowPunct/>
        <w:topLinePunct w:val="0"/>
        <w:autoSpaceDE/>
        <w:autoSpaceDN/>
        <w:bidi w:val="0"/>
        <w:adjustRightInd/>
        <w:snapToGrid/>
        <w:spacing w:line="560" w:lineRule="exact"/>
        <w:ind w:firstLine="120" w:firstLineChars="50"/>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详细通讯址：</w:t>
      </w:r>
    </w:p>
    <w:p w14:paraId="134C7C91">
      <w:pPr>
        <w:pageBreakBefore w:val="0"/>
        <w:kinsoku/>
        <w:wordWrap/>
        <w:overflowPunct/>
        <w:topLinePunct w:val="0"/>
        <w:autoSpaceDE/>
        <w:autoSpaceDN/>
        <w:bidi w:val="0"/>
        <w:adjustRightInd/>
        <w:snapToGrid/>
        <w:spacing w:line="560" w:lineRule="exact"/>
        <w:ind w:firstLine="120" w:firstLineChars="50"/>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电话：传真：</w:t>
      </w:r>
    </w:p>
    <w:p w14:paraId="483A2623">
      <w:pPr>
        <w:pageBreakBefore w:val="0"/>
        <w:kinsoku/>
        <w:wordWrap/>
        <w:overflowPunct/>
        <w:topLinePunct w:val="0"/>
        <w:autoSpaceDE/>
        <w:autoSpaceDN/>
        <w:bidi w:val="0"/>
        <w:adjustRightInd/>
        <w:snapToGrid/>
        <w:spacing w:line="560" w:lineRule="exact"/>
        <w:ind w:firstLine="120" w:firstLineChars="50"/>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邮政编码：</w:t>
      </w:r>
    </w:p>
    <w:p w14:paraId="60315600">
      <w:pPr>
        <w:pageBreakBefore w:val="0"/>
        <w:kinsoku/>
        <w:wordWrap/>
        <w:overflowPunct/>
        <w:topLinePunct w:val="0"/>
        <w:autoSpaceDE/>
        <w:autoSpaceDN/>
        <w:bidi w:val="0"/>
        <w:adjustRightInd/>
        <w:snapToGrid/>
        <w:spacing w:line="560" w:lineRule="exac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身份证号码：</w:t>
      </w:r>
    </w:p>
    <w:p w14:paraId="7EE0BDEF">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u w:val="single"/>
        </w:rPr>
      </w:pP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0"/>
      </w:tblGrid>
      <w:tr w14:paraId="04FC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5" w:hRule="atLeast"/>
          <w:jc w:val="center"/>
        </w:trPr>
        <w:tc>
          <w:tcPr>
            <w:tcW w:w="7800" w:type="dxa"/>
            <w:tcBorders>
              <w:top w:val="single" w:color="auto" w:sz="4" w:space="0"/>
              <w:left w:val="single" w:color="auto" w:sz="4" w:space="0"/>
              <w:bottom w:val="single" w:color="auto" w:sz="4" w:space="0"/>
              <w:right w:val="single" w:color="auto" w:sz="4" w:space="0"/>
            </w:tcBorders>
            <w:noWrap w:val="0"/>
            <w:vAlign w:val="center"/>
          </w:tcPr>
          <w:p w14:paraId="3885E2DB">
            <w:pPr>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二代身份证，须同时提供正、反两面复印件</w:t>
            </w:r>
          </w:p>
          <w:p w14:paraId="5819231D">
            <w:pPr>
              <w:pageBreakBefore w:val="0"/>
              <w:widowControl/>
              <w:kinsoku/>
              <w:wordWrap/>
              <w:overflowPunct/>
              <w:topLinePunct w:val="0"/>
              <w:autoSpaceDE/>
              <w:autoSpaceDN/>
              <w:bidi w:val="0"/>
              <w:adjustRightInd/>
              <w:snapToGrid/>
              <w:spacing w:line="560" w:lineRule="exact"/>
              <w:jc w:val="center"/>
              <w:textAlignment w:val="auto"/>
              <w:rPr>
                <w:rFonts w:hint="eastAsia" w:ascii="宋体" w:eastAsia="宋体" w:cs="宋体"/>
                <w:bCs/>
                <w:sz w:val="24"/>
                <w:szCs w:val="24"/>
              </w:rPr>
            </w:pPr>
          </w:p>
        </w:tc>
      </w:tr>
    </w:tbl>
    <w:p w14:paraId="50B62433">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rPr>
        <w:t>供应商全称（公章）：</w:t>
      </w:r>
    </w:p>
    <w:p w14:paraId="55AA4052">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4B5CC085">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rPr>
        <w:t>法定代表人（签字）：</w:t>
      </w:r>
    </w:p>
    <w:p w14:paraId="2748BFD5">
      <w:pPr>
        <w:pageBreakBefore w:val="0"/>
        <w:tabs>
          <w:tab w:val="left" w:pos="5760"/>
        </w:tabs>
        <w:kinsoku/>
        <w:wordWrap/>
        <w:overflowPunct/>
        <w:topLinePunct w:val="0"/>
        <w:autoSpaceDE/>
        <w:autoSpaceDN/>
        <w:bidi w:val="0"/>
        <w:adjustRightInd/>
        <w:snapToGrid/>
        <w:spacing w:line="560" w:lineRule="exact"/>
        <w:ind w:firstLine="6360" w:firstLineChars="2650"/>
        <w:jc w:val="left"/>
        <w:textAlignment w:val="auto"/>
        <w:rPr>
          <w:rFonts w:hint="eastAsia" w:ascii="宋体" w:hAnsi="宋体"/>
          <w:color w:val="000000"/>
          <w:sz w:val="24"/>
          <w:szCs w:val="24"/>
        </w:rPr>
      </w:pPr>
      <w:r>
        <w:rPr>
          <w:rFonts w:hint="eastAsia" w:ascii="宋体" w:hAnsi="宋体"/>
          <w:color w:val="000000"/>
          <w:sz w:val="24"/>
          <w:szCs w:val="24"/>
        </w:rPr>
        <w:t>年月日</w:t>
      </w:r>
    </w:p>
    <w:p w14:paraId="63E6EDAA">
      <w:pPr>
        <w:pageBreakBefore w:val="0"/>
        <w:kinsoku/>
        <w:wordWrap/>
        <w:overflowPunct/>
        <w:topLinePunct w:val="0"/>
        <w:autoSpaceDE/>
        <w:autoSpaceDN/>
        <w:bidi w:val="0"/>
        <w:adjustRightInd/>
        <w:snapToGrid/>
        <w:spacing w:line="560" w:lineRule="exact"/>
        <w:textAlignment w:val="auto"/>
        <w:rPr>
          <w:color w:val="000000"/>
          <w:sz w:val="24"/>
          <w:szCs w:val="24"/>
        </w:rPr>
      </w:pPr>
      <w:bookmarkStart w:id="64" w:name="_Toc428538928"/>
      <w:bookmarkStart w:id="65" w:name="_Toc2378"/>
    </w:p>
    <w:p w14:paraId="5D4A0CB9">
      <w:pPr>
        <w:pStyle w:val="3"/>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参加政府采购前3年内无重大违法记录书面声明格式</w:t>
      </w:r>
      <w:bookmarkEnd w:id="64"/>
      <w:bookmarkEnd w:id="65"/>
    </w:p>
    <w:p w14:paraId="7ADBC100">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p>
    <w:p w14:paraId="29D19C16">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p>
    <w:p w14:paraId="6B7D9EDC">
      <w:pPr>
        <w:pageBreakBefore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书面声明</w:t>
      </w:r>
    </w:p>
    <w:p w14:paraId="60268E25">
      <w:pPr>
        <w:pageBreakBefore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color w:val="000000"/>
          <w:sz w:val="24"/>
          <w:szCs w:val="24"/>
        </w:rPr>
      </w:pPr>
    </w:p>
    <w:p w14:paraId="5CF59731">
      <w:pPr>
        <w:pageBreakBefore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所称重大违法记录，是指供应商因违法经营受到刑事处罚或者责令停产停业、吊销许可证或者执照、较大数额罚款等行政处罚和政府采购严重违法失信行为的书面声明。</w:t>
      </w:r>
    </w:p>
    <w:p w14:paraId="28A4E4F8">
      <w:pPr>
        <w:pageBreakBefore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格式自拟。</w:t>
      </w:r>
    </w:p>
    <w:p w14:paraId="67A7F9A2">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590011F3">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7FADAE59">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31DF0DB3">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6235CF32">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p>
    <w:p w14:paraId="76A396DF">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5A4FF136">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4F4A8193">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2F107BFE">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2EE7ED5D">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2D57BD2B">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供应商全称（公章）：</w:t>
      </w:r>
      <w:bookmarkStart w:id="67" w:name="_GoBack"/>
      <w:bookmarkEnd w:id="67"/>
    </w:p>
    <w:p w14:paraId="3F4F8B79">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法定代表人或其授权委托人（签字）：</w:t>
      </w:r>
    </w:p>
    <w:p w14:paraId="58855E06">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r>
        <w:rPr>
          <w:rFonts w:hint="eastAsia" w:asciiTheme="minorEastAsia" w:hAnsiTheme="minorEastAsia" w:eastAsiaTheme="minorEastAsia" w:cstheme="minorEastAsia"/>
          <w:color w:val="000000"/>
          <w:sz w:val="24"/>
          <w:szCs w:val="24"/>
        </w:rPr>
        <w:t>年月日</w:t>
      </w:r>
    </w:p>
    <w:p w14:paraId="6B1BEE91">
      <w:pPr>
        <w:rPr>
          <w:rFonts w:hint="eastAsia"/>
          <w:color w:val="000000"/>
        </w:rPr>
      </w:pPr>
      <w:bookmarkStart w:id="66" w:name="_Toc3451"/>
      <w:r>
        <w:rPr>
          <w:rFonts w:hint="eastAsia"/>
          <w:color w:val="000000"/>
        </w:rPr>
        <w:br w:type="page"/>
      </w:r>
    </w:p>
    <w:bookmarkEnd w:id="42"/>
    <w:bookmarkEnd w:id="43"/>
    <w:bookmarkEnd w:id="44"/>
    <w:bookmarkEnd w:id="45"/>
    <w:bookmarkEnd w:id="66"/>
    <w:p w14:paraId="46E0B0CE">
      <w:pPr>
        <w:pageBreakBefore w:val="0"/>
        <w:kinsoku/>
        <w:wordWrap/>
        <w:overflowPunct/>
        <w:topLinePunct w:val="0"/>
        <w:bidi w:val="0"/>
        <w:spacing w:line="560" w:lineRule="exact"/>
        <w:textAlignment w:val="auto"/>
        <w:outlineLvl w:val="2"/>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附录：质疑书格式</w:t>
      </w:r>
    </w:p>
    <w:p w14:paraId="07976C4D">
      <w:pPr>
        <w:pageBreakBefore w:val="0"/>
        <w:widowControl/>
        <w:kinsoku/>
        <w:wordWrap/>
        <w:overflowPunct/>
        <w:topLinePunct w:val="0"/>
        <w:bidi w:val="0"/>
        <w:spacing w:line="560" w:lineRule="exact"/>
        <w:ind w:left="12" w:leftChars="-1" w:hanging="14" w:hangingChars="6"/>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kern w:val="0"/>
          <w:sz w:val="24"/>
          <w:szCs w:val="24"/>
          <w:lang w:bidi="ar"/>
        </w:rPr>
        <w:t>质疑书</w:t>
      </w:r>
    </w:p>
    <w:p w14:paraId="09C34DFE">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一、质疑供应商基本信息</w:t>
      </w:r>
    </w:p>
    <w:p w14:paraId="4A04FBD3">
      <w:pPr>
        <w:pageBreakBefore w:val="0"/>
        <w:widowControl/>
        <w:kinsoku/>
        <w:wordWrap/>
        <w:overflowPunct/>
        <w:topLinePunct w:val="0"/>
        <w:bidi w:val="0"/>
        <w:spacing w:line="560" w:lineRule="exact"/>
        <w:ind w:firstLine="470" w:firstLineChars="196"/>
        <w:jc w:val="left"/>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0"/>
          <w:sz w:val="24"/>
          <w:szCs w:val="24"/>
          <w:lang w:bidi="ar"/>
        </w:rPr>
        <w:t>质疑投标人：</w:t>
      </w:r>
      <w:r>
        <w:rPr>
          <w:rFonts w:hint="eastAsia" w:asciiTheme="minorEastAsia" w:hAnsiTheme="minorEastAsia" w:eastAsiaTheme="minorEastAsia" w:cstheme="minorEastAsia"/>
          <w:kern w:val="0"/>
          <w:sz w:val="24"/>
          <w:szCs w:val="24"/>
          <w:u w:val="single"/>
          <w:lang w:val="en-US" w:eastAsia="zh-CN" w:bidi="ar"/>
        </w:rPr>
        <w:t xml:space="preserve">            </w:t>
      </w:r>
    </w:p>
    <w:p w14:paraId="69A26497">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地址：</w:t>
      </w:r>
      <w:r>
        <w:rPr>
          <w:rFonts w:hint="eastAsia" w:asciiTheme="minorEastAsia" w:hAnsiTheme="minorEastAsia" w:eastAsiaTheme="minorEastAsia" w:cstheme="minorEastAsia"/>
          <w:kern w:val="0"/>
          <w:sz w:val="24"/>
          <w:szCs w:val="24"/>
          <w:u w:val="single"/>
          <w:lang w:val="en-US" w:eastAsia="zh-CN" w:bidi="ar"/>
        </w:rPr>
        <w:t xml:space="preserve">            </w:t>
      </w:r>
      <w:r>
        <w:rPr>
          <w:rFonts w:hint="eastAsia" w:asciiTheme="minorEastAsia" w:hAnsiTheme="minorEastAsia" w:eastAsiaTheme="minorEastAsia" w:cstheme="minorEastAsia"/>
          <w:kern w:val="0"/>
          <w:sz w:val="24"/>
          <w:szCs w:val="24"/>
          <w:lang w:bidi="ar"/>
        </w:rPr>
        <w:t>邮编：</w:t>
      </w:r>
      <w:r>
        <w:rPr>
          <w:rFonts w:hint="eastAsia" w:asciiTheme="minorEastAsia" w:hAnsiTheme="minorEastAsia" w:eastAsiaTheme="minorEastAsia" w:cstheme="minorEastAsia"/>
          <w:kern w:val="0"/>
          <w:sz w:val="24"/>
          <w:szCs w:val="24"/>
          <w:u w:val="single"/>
          <w:lang w:val="en-US" w:eastAsia="zh-CN" w:bidi="ar"/>
        </w:rPr>
        <w:t xml:space="preserve">            </w:t>
      </w:r>
    </w:p>
    <w:p w14:paraId="39FDB7EE">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0"/>
          <w:sz w:val="24"/>
          <w:szCs w:val="24"/>
          <w:lang w:bidi="ar"/>
        </w:rPr>
        <w:t>联系人：联系电话：</w:t>
      </w:r>
      <w:r>
        <w:rPr>
          <w:rFonts w:hint="eastAsia" w:asciiTheme="minorEastAsia" w:hAnsiTheme="minorEastAsia" w:eastAsiaTheme="minorEastAsia" w:cstheme="minorEastAsia"/>
          <w:kern w:val="0"/>
          <w:sz w:val="24"/>
          <w:szCs w:val="24"/>
          <w:u w:val="single"/>
          <w:lang w:val="en-US" w:eastAsia="zh-CN" w:bidi="ar"/>
        </w:rPr>
        <w:t xml:space="preserve">            </w:t>
      </w:r>
    </w:p>
    <w:p w14:paraId="3FC6CA30">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授权代表：</w:t>
      </w:r>
      <w:r>
        <w:rPr>
          <w:rFonts w:hint="eastAsia" w:asciiTheme="minorEastAsia" w:hAnsiTheme="minorEastAsia" w:eastAsiaTheme="minorEastAsia" w:cstheme="minorEastAsia"/>
          <w:kern w:val="0"/>
          <w:sz w:val="24"/>
          <w:szCs w:val="24"/>
          <w:u w:val="single"/>
          <w:lang w:val="en-US" w:eastAsia="zh-CN" w:bidi="ar"/>
        </w:rPr>
        <w:t xml:space="preserve">            </w:t>
      </w:r>
    </w:p>
    <w:p w14:paraId="27498D5B">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联系电话：</w:t>
      </w:r>
      <w:r>
        <w:rPr>
          <w:rFonts w:hint="eastAsia" w:asciiTheme="minorEastAsia" w:hAnsiTheme="minorEastAsia" w:eastAsiaTheme="minorEastAsia" w:cstheme="minorEastAsia"/>
          <w:kern w:val="0"/>
          <w:sz w:val="24"/>
          <w:szCs w:val="24"/>
          <w:u w:val="single"/>
          <w:lang w:val="en-US" w:eastAsia="zh-CN" w:bidi="ar"/>
        </w:rPr>
        <w:t xml:space="preserve">            </w:t>
      </w:r>
    </w:p>
    <w:p w14:paraId="5650BF07">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地址：</w:t>
      </w:r>
      <w:r>
        <w:rPr>
          <w:rFonts w:hint="eastAsia" w:asciiTheme="minorEastAsia" w:hAnsiTheme="minorEastAsia" w:eastAsiaTheme="minorEastAsia" w:cstheme="minorEastAsia"/>
          <w:kern w:val="0"/>
          <w:sz w:val="24"/>
          <w:szCs w:val="24"/>
          <w:u w:val="single"/>
          <w:lang w:val="en-US" w:eastAsia="zh-CN" w:bidi="ar"/>
        </w:rPr>
        <w:t xml:space="preserve">            </w:t>
      </w:r>
      <w:r>
        <w:rPr>
          <w:rFonts w:hint="eastAsia" w:asciiTheme="minorEastAsia" w:hAnsiTheme="minorEastAsia" w:eastAsiaTheme="minorEastAsia" w:cstheme="minorEastAsia"/>
          <w:kern w:val="0"/>
          <w:sz w:val="24"/>
          <w:szCs w:val="24"/>
          <w:lang w:bidi="ar"/>
        </w:rPr>
        <w:t>邮编：</w:t>
      </w:r>
      <w:r>
        <w:rPr>
          <w:rFonts w:hint="eastAsia" w:asciiTheme="minorEastAsia" w:hAnsiTheme="minorEastAsia" w:eastAsiaTheme="minorEastAsia" w:cstheme="minorEastAsia"/>
          <w:kern w:val="0"/>
          <w:sz w:val="24"/>
          <w:szCs w:val="24"/>
          <w:u w:val="single"/>
          <w:lang w:val="en-US" w:eastAsia="zh-CN" w:bidi="ar"/>
        </w:rPr>
        <w:t xml:space="preserve">            </w:t>
      </w:r>
    </w:p>
    <w:p w14:paraId="53095413">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二、质疑项目基本情况</w:t>
      </w:r>
    </w:p>
    <w:p w14:paraId="61C58D88">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0"/>
          <w:sz w:val="24"/>
          <w:szCs w:val="24"/>
          <w:lang w:bidi="ar"/>
        </w:rPr>
        <w:t>质疑项目的名称：</w:t>
      </w:r>
      <w:r>
        <w:rPr>
          <w:rFonts w:hint="eastAsia" w:asciiTheme="minorEastAsia" w:hAnsiTheme="minorEastAsia" w:eastAsiaTheme="minorEastAsia" w:cstheme="minorEastAsia"/>
          <w:kern w:val="0"/>
          <w:sz w:val="24"/>
          <w:szCs w:val="24"/>
          <w:u w:val="single"/>
          <w:lang w:eastAsia="zh-CN" w:bidi="ar"/>
        </w:rPr>
        <w:t xml:space="preserve">            </w:t>
      </w:r>
    </w:p>
    <w:p w14:paraId="55D42517">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质疑项目的编号：包号：</w:t>
      </w:r>
      <w:r>
        <w:rPr>
          <w:rFonts w:hint="eastAsia" w:asciiTheme="minorEastAsia" w:hAnsiTheme="minorEastAsia" w:eastAsiaTheme="minorEastAsia" w:cstheme="minorEastAsia"/>
          <w:kern w:val="0"/>
          <w:sz w:val="24"/>
          <w:szCs w:val="24"/>
          <w:u w:val="single"/>
          <w:lang w:val="en-US" w:eastAsia="zh-CN" w:bidi="ar"/>
        </w:rPr>
        <w:t xml:space="preserve">            </w:t>
      </w:r>
    </w:p>
    <w:p w14:paraId="579F4962">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采购人名称：</w:t>
      </w:r>
      <w:r>
        <w:rPr>
          <w:rFonts w:hint="eastAsia" w:asciiTheme="minorEastAsia" w:hAnsiTheme="minorEastAsia" w:eastAsiaTheme="minorEastAsia" w:cstheme="minorEastAsia"/>
          <w:kern w:val="0"/>
          <w:sz w:val="24"/>
          <w:szCs w:val="24"/>
          <w:u w:val="single"/>
          <w:lang w:val="en-US" w:eastAsia="zh-CN" w:bidi="ar"/>
        </w:rPr>
        <w:t xml:space="preserve">            </w:t>
      </w:r>
    </w:p>
    <w:p w14:paraId="56979419">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采购文件获取日期：</w:t>
      </w:r>
      <w:r>
        <w:rPr>
          <w:rFonts w:hint="eastAsia" w:asciiTheme="minorEastAsia" w:hAnsiTheme="minorEastAsia" w:eastAsiaTheme="minorEastAsia" w:cstheme="minorEastAsia"/>
          <w:kern w:val="0"/>
          <w:sz w:val="24"/>
          <w:szCs w:val="24"/>
          <w:u w:val="single"/>
          <w:lang w:val="en-US" w:eastAsia="zh-CN" w:bidi="ar"/>
        </w:rPr>
        <w:t xml:space="preserve">            </w:t>
      </w:r>
    </w:p>
    <w:p w14:paraId="6F65E2F8">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三、质疑事项具体内容</w:t>
      </w:r>
    </w:p>
    <w:p w14:paraId="0D3DA8FC">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质疑事项1：</w:t>
      </w:r>
      <w:r>
        <w:rPr>
          <w:rFonts w:hint="eastAsia" w:asciiTheme="minorEastAsia" w:hAnsiTheme="minorEastAsia" w:eastAsiaTheme="minorEastAsia" w:cstheme="minorEastAsia"/>
          <w:kern w:val="0"/>
          <w:sz w:val="24"/>
          <w:szCs w:val="24"/>
          <w:u w:val="single"/>
          <w:lang w:val="en-US" w:eastAsia="zh-CN" w:bidi="ar"/>
        </w:rPr>
        <w:t xml:space="preserve">            </w:t>
      </w:r>
    </w:p>
    <w:p w14:paraId="33F3512E">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u w:val="single"/>
          <w:lang w:eastAsia="zh-CN"/>
        </w:rPr>
      </w:pPr>
      <w:r>
        <w:rPr>
          <w:rFonts w:hint="eastAsia" w:asciiTheme="minorEastAsia" w:hAnsiTheme="minorEastAsia" w:eastAsiaTheme="minorEastAsia" w:cstheme="minorEastAsia"/>
          <w:kern w:val="0"/>
          <w:sz w:val="24"/>
          <w:szCs w:val="24"/>
          <w:lang w:bidi="ar"/>
        </w:rPr>
        <w:t>事实依据：</w:t>
      </w:r>
      <w:r>
        <w:rPr>
          <w:rFonts w:hint="eastAsia" w:asciiTheme="minorEastAsia" w:hAnsiTheme="minorEastAsia" w:eastAsiaTheme="minorEastAsia" w:cstheme="minorEastAsia"/>
          <w:kern w:val="0"/>
          <w:sz w:val="24"/>
          <w:szCs w:val="24"/>
          <w:u w:val="single"/>
          <w:lang w:val="en-US" w:eastAsia="zh-CN" w:bidi="ar"/>
        </w:rPr>
        <w:t xml:space="preserve">            </w:t>
      </w:r>
    </w:p>
    <w:p w14:paraId="492322A9">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kern w:val="0"/>
          <w:sz w:val="24"/>
          <w:szCs w:val="24"/>
          <w:lang w:bidi="ar"/>
        </w:rPr>
        <w:t>法律依据：</w:t>
      </w:r>
      <w:r>
        <w:rPr>
          <w:rFonts w:hint="eastAsia" w:asciiTheme="minorEastAsia" w:hAnsiTheme="minorEastAsia" w:eastAsiaTheme="minorEastAsia" w:cstheme="minorEastAsia"/>
          <w:kern w:val="0"/>
          <w:sz w:val="24"/>
          <w:szCs w:val="24"/>
          <w:u w:val="single"/>
          <w:lang w:val="en-US" w:eastAsia="zh-CN" w:bidi="ar"/>
        </w:rPr>
        <w:t xml:space="preserve">            </w:t>
      </w:r>
    </w:p>
    <w:p w14:paraId="3389DBE1">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质疑事项2</w:t>
      </w:r>
    </w:p>
    <w:p w14:paraId="4EF208FC">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w:t>
      </w:r>
    </w:p>
    <w:p w14:paraId="3A8C0B02">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四、与质疑事项相关的质疑请求</w:t>
      </w:r>
    </w:p>
    <w:p w14:paraId="745EB024">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请求：</w:t>
      </w:r>
      <w:r>
        <w:rPr>
          <w:rFonts w:hint="eastAsia" w:asciiTheme="minorEastAsia" w:hAnsiTheme="minorEastAsia" w:eastAsiaTheme="minorEastAsia" w:cstheme="minorEastAsia"/>
          <w:kern w:val="0"/>
          <w:sz w:val="24"/>
          <w:szCs w:val="24"/>
          <w:u w:val="single"/>
          <w:lang w:val="en-US" w:eastAsia="zh-CN" w:bidi="ar"/>
        </w:rPr>
        <w:t xml:space="preserve">            </w:t>
      </w:r>
    </w:p>
    <w:p w14:paraId="0CA76DA6">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0"/>
          <w:sz w:val="24"/>
          <w:szCs w:val="24"/>
          <w:lang w:bidi="ar"/>
        </w:rPr>
        <w:t>签字(签章)：公章：</w:t>
      </w:r>
      <w:r>
        <w:rPr>
          <w:rFonts w:hint="eastAsia" w:asciiTheme="minorEastAsia" w:hAnsiTheme="minorEastAsia" w:eastAsiaTheme="minorEastAsia" w:cstheme="minorEastAsia"/>
          <w:kern w:val="0"/>
          <w:sz w:val="24"/>
          <w:szCs w:val="24"/>
          <w:u w:val="single"/>
          <w:lang w:val="en-US" w:eastAsia="zh-CN" w:bidi="ar"/>
        </w:rPr>
        <w:t xml:space="preserve">            </w:t>
      </w:r>
    </w:p>
    <w:p w14:paraId="232A38EB">
      <w:pPr>
        <w:pageBreakBefore w:val="0"/>
        <w:widowControl/>
        <w:kinsoku/>
        <w:wordWrap/>
        <w:overflowPunct/>
        <w:topLinePunct w:val="0"/>
        <w:bidi w:val="0"/>
        <w:spacing w:line="560" w:lineRule="exact"/>
        <w:ind w:firstLine="470" w:firstLineChars="196"/>
        <w:jc w:val="left"/>
        <w:textAlignment w:val="auto"/>
        <w:outlineLvl w:val="9"/>
        <w:rPr>
          <w:rFonts w:hint="eastAsia" w:asciiTheme="minorEastAsia" w:hAnsiTheme="minorEastAsia" w:eastAsiaTheme="minorEastAsia" w:cstheme="minorEastAsia"/>
          <w:kern w:val="0"/>
          <w:sz w:val="24"/>
          <w:szCs w:val="24"/>
          <w:lang w:val="en-US" w:eastAsia="zh-CN" w:bidi="ar"/>
        </w:rPr>
      </w:pPr>
      <w:r>
        <w:rPr>
          <w:rFonts w:hint="eastAsia" w:asciiTheme="minorEastAsia" w:hAnsiTheme="minorEastAsia" w:eastAsiaTheme="minorEastAsia" w:cstheme="minorEastAsia"/>
          <w:kern w:val="0"/>
          <w:sz w:val="24"/>
          <w:szCs w:val="24"/>
          <w:lang w:bidi="ar"/>
        </w:rPr>
        <w:t>日期：</w:t>
      </w:r>
    </w:p>
    <w:p w14:paraId="67B8279F">
      <w:pPr>
        <w:pageBreakBefore w:val="0"/>
        <w:widowControl/>
        <w:kinsoku/>
        <w:wordWrap/>
        <w:overflowPunct/>
        <w:topLinePunct w:val="0"/>
        <w:bidi w:val="0"/>
        <w:spacing w:line="560" w:lineRule="exact"/>
        <w:ind w:firstLine="470" w:firstLineChars="196"/>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质疑函制作说明：</w:t>
      </w:r>
    </w:p>
    <w:p w14:paraId="6BB6E8B8">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1.投标人提出质疑时，应提交质疑函和必要的证明材料。</w:t>
      </w:r>
    </w:p>
    <w:p w14:paraId="506F8AFE">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质疑投标人若委托代理人进行质疑的，质疑函应按要求列明“授权代表”的有关内容，并在附件中提交由质疑投标人签署的授权委托书。授权委托书应载明代理人的姓名或者名称、代理事项、具体权限、期限和相关事项。</w:t>
      </w:r>
    </w:p>
    <w:p w14:paraId="36999F76">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3.质疑投标人若对项目的某一分包进行质疑，质疑函中应列明具体分包号。</w:t>
      </w:r>
    </w:p>
    <w:p w14:paraId="37C8A839">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4.质疑函的质疑事项应具体、明确，并有必要的事实依据和法律依据。</w:t>
      </w:r>
    </w:p>
    <w:p w14:paraId="5854BE14">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5.质疑函的质疑请求应与质疑事项相关。</w:t>
      </w:r>
    </w:p>
    <w:p w14:paraId="4E8593A0">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6.质疑投标人为自然人的，质疑函应由本人签字；质疑投标人为法人或者其他组织的，质疑函应由法定代表人、主要负责人，或者其授权代表签字或者盖章，并加盖公章。</w:t>
      </w:r>
    </w:p>
    <w:p w14:paraId="4C683D6C">
      <w:pPr>
        <w:pageBreakBefore w:val="0"/>
        <w:kinsoku/>
        <w:wordWrap/>
        <w:overflowPunct/>
        <w:topLinePunct w:val="0"/>
        <w:bidi w:val="0"/>
        <w:spacing w:line="560" w:lineRule="exact"/>
        <w:textAlignment w:val="auto"/>
        <w:outlineLvl w:val="9"/>
        <w:rPr>
          <w:rFonts w:hint="eastAsia" w:asciiTheme="minorEastAsia" w:hAnsiTheme="minorEastAsia" w:eastAsiaTheme="minorEastAsia" w:cstheme="minorEastAsia"/>
          <w:color w:val="000000"/>
          <w:sz w:val="24"/>
          <w:szCs w:val="24"/>
        </w:rPr>
      </w:pPr>
    </w:p>
    <w:p w14:paraId="019E4E9E">
      <w:pPr>
        <w:pageBreakBefore w:val="0"/>
        <w:kinsoku/>
        <w:wordWrap/>
        <w:overflowPunct/>
        <w:topLinePunct w:val="0"/>
        <w:bidi w:val="0"/>
        <w:spacing w:line="560" w:lineRule="exact"/>
        <w:textAlignment w:val="auto"/>
        <w:outlineLvl w:val="9"/>
        <w:rPr>
          <w:rFonts w:hint="eastAsia" w:asciiTheme="minorEastAsia" w:hAnsiTheme="minorEastAsia" w:eastAsiaTheme="minorEastAsia" w:cstheme="minorEastAsia"/>
          <w:color w:val="000000"/>
          <w:sz w:val="24"/>
          <w:szCs w:val="24"/>
        </w:rPr>
      </w:pPr>
    </w:p>
    <w:p w14:paraId="2E5BB6D9">
      <w:pPr>
        <w:pStyle w:val="14"/>
        <w:ind w:left="0" w:leftChars="0" w:firstLine="0" w:firstLineChars="0"/>
        <w:rPr>
          <w:rFonts w:hint="eastAsia"/>
        </w:rPr>
      </w:pPr>
    </w:p>
    <w:sectPr>
      <w:footerReference r:id="rId3" w:type="default"/>
      <w:pgSz w:w="11906" w:h="16838"/>
      <w:pgMar w:top="1440" w:right="1474" w:bottom="1440"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Segoe UI Emoji">
    <w:panose1 w:val="020B0502040204020203"/>
    <w:charset w:val="00"/>
    <w:family w:val="auto"/>
    <w:pitch w:val="default"/>
    <w:sig w:usb0="00000001" w:usb1="02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ingsoft UE">
    <w:panose1 w:val="02000100010000000000"/>
    <w:charset w:val="00"/>
    <w:family w:val="auto"/>
    <w:pitch w:val="default"/>
    <w:sig w:usb0="00000001" w:usb1="00004000" w:usb2="00000000" w:usb3="00000000" w:csb0="0000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E4A55">
    <w:pPr>
      <w:pStyle w:val="10"/>
      <w:rPr>
        <w:rFonts w:cs="Times New Roma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decimal"/>
      <w:lvlText w:val="%1."/>
      <w:lvlJc w:val="left"/>
      <w:pPr>
        <w:tabs>
          <w:tab w:val="left" w:pos="0"/>
        </w:tabs>
        <w:ind w:left="420" w:hanging="420"/>
      </w:pPr>
      <w:rPr>
        <w:rFonts w:hint="eastAsia"/>
      </w:rPr>
    </w:lvl>
    <w:lvl w:ilvl="1" w:tentative="0">
      <w:start w:val="1"/>
      <w:numFmt w:val="decimal"/>
      <w:pStyle w:val="22"/>
      <w:lvlText w:val="%1.%2"/>
      <w:lvlJc w:val="left"/>
      <w:pPr>
        <w:tabs>
          <w:tab w:val="left" w:pos="700"/>
        </w:tabs>
        <w:ind w:left="700" w:hanging="700"/>
      </w:pPr>
      <w:rPr>
        <w:rFonts w:hint="eastAsia"/>
      </w:rPr>
    </w:lvl>
    <w:lvl w:ilvl="2" w:tentative="0">
      <w:start w:val="1"/>
      <w:numFmt w:val="decimal"/>
      <w:lvlText w:val="%1.%2.%3"/>
      <w:lvlJc w:val="left"/>
      <w:pPr>
        <w:tabs>
          <w:tab w:val="left" w:pos="0"/>
        </w:tabs>
        <w:ind w:left="1418" w:hanging="1418"/>
      </w:pPr>
      <w:rPr>
        <w:rFonts w:hint="eastAsia"/>
      </w:rPr>
    </w:lvl>
    <w:lvl w:ilvl="3" w:tentative="0">
      <w:start w:val="1"/>
      <w:numFmt w:val="decimal"/>
      <w:lvlText w:val="%1.%2.%3.%4"/>
      <w:lvlJc w:val="left"/>
      <w:pPr>
        <w:tabs>
          <w:tab w:val="left" w:pos="0"/>
        </w:tabs>
        <w:ind w:left="1984" w:hanging="1984"/>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759E0"/>
    <w:rsid w:val="00E32D5A"/>
    <w:rsid w:val="01885C70"/>
    <w:rsid w:val="029E162E"/>
    <w:rsid w:val="03C736FA"/>
    <w:rsid w:val="04782CF0"/>
    <w:rsid w:val="052027CE"/>
    <w:rsid w:val="05AF5900"/>
    <w:rsid w:val="0B136931"/>
    <w:rsid w:val="0C1B3CF0"/>
    <w:rsid w:val="0CD768E7"/>
    <w:rsid w:val="110030B4"/>
    <w:rsid w:val="116033AA"/>
    <w:rsid w:val="132A1E25"/>
    <w:rsid w:val="143E28D8"/>
    <w:rsid w:val="16107591"/>
    <w:rsid w:val="163B51D6"/>
    <w:rsid w:val="172C5003"/>
    <w:rsid w:val="17A96653"/>
    <w:rsid w:val="1A7B1DFD"/>
    <w:rsid w:val="1D9B6A3E"/>
    <w:rsid w:val="1DC3609F"/>
    <w:rsid w:val="1DC835AB"/>
    <w:rsid w:val="1E1E141D"/>
    <w:rsid w:val="207672EF"/>
    <w:rsid w:val="22F72C30"/>
    <w:rsid w:val="26FE003E"/>
    <w:rsid w:val="27FC7598"/>
    <w:rsid w:val="29AB625B"/>
    <w:rsid w:val="2E8C5FB6"/>
    <w:rsid w:val="2EC855A2"/>
    <w:rsid w:val="2FD302BA"/>
    <w:rsid w:val="31CC3212"/>
    <w:rsid w:val="32B5039B"/>
    <w:rsid w:val="3344327C"/>
    <w:rsid w:val="34525509"/>
    <w:rsid w:val="35FA1818"/>
    <w:rsid w:val="37701047"/>
    <w:rsid w:val="377753EA"/>
    <w:rsid w:val="37D416A4"/>
    <w:rsid w:val="3859162A"/>
    <w:rsid w:val="38FB0050"/>
    <w:rsid w:val="3A32781E"/>
    <w:rsid w:val="3BA7084C"/>
    <w:rsid w:val="3CBF4230"/>
    <w:rsid w:val="3DE418E4"/>
    <w:rsid w:val="3E1877DF"/>
    <w:rsid w:val="3EDB2CE7"/>
    <w:rsid w:val="3FA4757D"/>
    <w:rsid w:val="400E0E9A"/>
    <w:rsid w:val="42666D6B"/>
    <w:rsid w:val="42BE177B"/>
    <w:rsid w:val="4464552C"/>
    <w:rsid w:val="460E39A2"/>
    <w:rsid w:val="4657087A"/>
    <w:rsid w:val="46A75BA4"/>
    <w:rsid w:val="4723347D"/>
    <w:rsid w:val="497C6795"/>
    <w:rsid w:val="49AC7F51"/>
    <w:rsid w:val="4AAD3720"/>
    <w:rsid w:val="4E801F14"/>
    <w:rsid w:val="4E872543"/>
    <w:rsid w:val="5088217D"/>
    <w:rsid w:val="565F3DA6"/>
    <w:rsid w:val="5710310F"/>
    <w:rsid w:val="57DD2B28"/>
    <w:rsid w:val="59883613"/>
    <w:rsid w:val="5AA91A93"/>
    <w:rsid w:val="5E960581"/>
    <w:rsid w:val="5EDD7F5D"/>
    <w:rsid w:val="604846B8"/>
    <w:rsid w:val="62FB4E56"/>
    <w:rsid w:val="637864A7"/>
    <w:rsid w:val="63E37DC4"/>
    <w:rsid w:val="64035727"/>
    <w:rsid w:val="641E704E"/>
    <w:rsid w:val="67E163EF"/>
    <w:rsid w:val="69072618"/>
    <w:rsid w:val="693F340F"/>
    <w:rsid w:val="6CA41B43"/>
    <w:rsid w:val="6F8E4E37"/>
    <w:rsid w:val="733046A8"/>
    <w:rsid w:val="74C723A3"/>
    <w:rsid w:val="763A272E"/>
    <w:rsid w:val="774A7829"/>
    <w:rsid w:val="79E07D62"/>
    <w:rsid w:val="7CE91A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line="800" w:lineRule="exact"/>
      <w:ind w:firstLine="0" w:firstLineChars="0"/>
      <w:jc w:val="center"/>
      <w:outlineLvl w:val="0"/>
    </w:pPr>
    <w:rPr>
      <w:rFonts w:ascii="Arial" w:hAnsi="Arial"/>
      <w:b/>
      <w:bCs/>
      <w:kern w:val="44"/>
      <w:sz w:val="36"/>
      <w:szCs w:val="44"/>
    </w:rPr>
  </w:style>
  <w:style w:type="paragraph" w:styleId="3">
    <w:name w:val="heading 3"/>
    <w:basedOn w:val="1"/>
    <w:next w:val="1"/>
    <w:qFormat/>
    <w:uiPriority w:val="9"/>
    <w:pPr>
      <w:keepNext/>
      <w:keepLines/>
      <w:spacing w:line="500" w:lineRule="exact"/>
      <w:jc w:val="left"/>
      <w:outlineLvl w:val="2"/>
    </w:pPr>
    <w:rPr>
      <w:bCs/>
      <w:sz w:val="24"/>
      <w:szCs w:val="32"/>
    </w:rPr>
  </w:style>
  <w:style w:type="paragraph" w:styleId="4">
    <w:name w:val="heading 4"/>
    <w:basedOn w:val="1"/>
    <w:next w:val="1"/>
    <w:qFormat/>
    <w:uiPriority w:val="0"/>
    <w:pPr>
      <w:keepNext/>
      <w:keepLines/>
      <w:spacing w:before="280" w:beforeLines="0" w:after="290" w:afterLines="0" w:line="376" w:lineRule="auto"/>
      <w:outlineLvl w:val="3"/>
    </w:pPr>
    <w:rPr>
      <w:rFonts w:ascii="Arial" w:hAnsi="Arial" w:eastAsia="黑体"/>
      <w:b/>
      <w:bCs/>
      <w:sz w:val="28"/>
      <w:szCs w:val="28"/>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szCs w:val="20"/>
    </w:rPr>
  </w:style>
  <w:style w:type="paragraph" w:styleId="6">
    <w:name w:val="Body Text"/>
    <w:basedOn w:val="1"/>
    <w:qFormat/>
    <w:uiPriority w:val="0"/>
    <w:pPr>
      <w:tabs>
        <w:tab w:val="left" w:pos="562"/>
        <w:tab w:val="left" w:pos="3372"/>
        <w:tab w:val="left" w:pos="3653"/>
      </w:tabs>
    </w:pPr>
    <w:rPr>
      <w:sz w:val="24"/>
    </w:rPr>
  </w:style>
  <w:style w:type="paragraph" w:styleId="7">
    <w:name w:val="Body Text Indent"/>
    <w:basedOn w:val="1"/>
    <w:next w:val="8"/>
    <w:qFormat/>
    <w:uiPriority w:val="0"/>
    <w:pPr>
      <w:ind w:firstLine="645"/>
    </w:pPr>
    <w:rPr>
      <w:rFonts w:ascii="楷体_GB2312" w:eastAsia="楷体_GB2312"/>
      <w:sz w:val="32"/>
      <w:szCs w:val="20"/>
    </w:rPr>
  </w:style>
  <w:style w:type="paragraph" w:styleId="8">
    <w:name w:val="envelope return"/>
    <w:basedOn w:val="1"/>
    <w:qFormat/>
    <w:uiPriority w:val="0"/>
    <w:pPr>
      <w:snapToGrid w:val="0"/>
    </w:pPr>
    <w:rPr>
      <w:rFonts w:ascii="Arial" w:hAnsi="Arial"/>
    </w:rPr>
  </w:style>
  <w:style w:type="paragraph" w:styleId="9">
    <w:name w:val="toc 3"/>
    <w:basedOn w:val="1"/>
    <w:next w:val="1"/>
    <w:qFormat/>
    <w:uiPriority w:val="39"/>
    <w:pPr>
      <w:tabs>
        <w:tab w:val="right" w:leader="middleDot" w:pos="8460"/>
      </w:tabs>
      <w:spacing w:line="360" w:lineRule="exact"/>
    </w:pPr>
    <w:rPr>
      <w:sz w:val="24"/>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toc 2"/>
    <w:basedOn w:val="1"/>
    <w:next w:val="1"/>
    <w:unhideWhenUsed/>
    <w:qFormat/>
    <w:uiPriority w:val="39"/>
    <w:pPr>
      <w:ind w:left="420" w:leftChars="200"/>
    </w:p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3">
    <w:name w:val="Body Text First Indent"/>
    <w:basedOn w:val="6"/>
    <w:qFormat/>
    <w:uiPriority w:val="0"/>
    <w:pPr>
      <w:spacing w:after="120" w:afterLines="0"/>
      <w:ind w:firstLine="420" w:firstLineChars="100"/>
    </w:pPr>
    <w:rPr>
      <w:sz w:val="21"/>
    </w:rPr>
  </w:style>
  <w:style w:type="paragraph" w:styleId="14">
    <w:name w:val="Body Text First Indent 2"/>
    <w:basedOn w:val="7"/>
    <w:next w:val="1"/>
    <w:qFormat/>
    <w:uiPriority w:val="0"/>
    <w:pPr>
      <w:ind w:firstLine="420" w:firstLineChars="200"/>
    </w:pPr>
  </w:style>
  <w:style w:type="paragraph" w:customStyle="1" w:styleId="17">
    <w:name w:val="图片"/>
    <w:basedOn w:val="1"/>
    <w:qFormat/>
    <w:uiPriority w:val="0"/>
    <w:pPr>
      <w:spacing w:before="2" w:line="359" w:lineRule="auto"/>
      <w:ind w:right="128"/>
    </w:pPr>
    <w:rPr>
      <w:rFonts w:hint="eastAsia" w:ascii="Times New Roman" w:hAnsi="Times New Roman" w:eastAsia="宋体" w:cs="Times New Roman"/>
      <w:snapToGrid w:val="0"/>
      <w:color w:val="000000"/>
      <w:spacing w:val="4"/>
      <w:kern w:val="0"/>
      <w:sz w:val="24"/>
      <w:szCs w:val="24"/>
      <w:lang w:eastAsia="zh-CN"/>
    </w:rPr>
  </w:style>
  <w:style w:type="paragraph" w:customStyle="1" w:styleId="18">
    <w:name w:val="样式1"/>
    <w:basedOn w:val="1"/>
    <w:qFormat/>
    <w:uiPriority w:val="0"/>
    <w:pPr>
      <w:widowControl/>
      <w:jc w:val="left"/>
      <w:outlineLvl w:val="0"/>
    </w:pPr>
    <w:rPr>
      <w:rFonts w:hint="eastAsia" w:ascii="黑体" w:hAnsi="黑体" w:eastAsia="黑体" w:cs="黑体"/>
      <w:kern w:val="0"/>
      <w:szCs w:val="32"/>
      <w:lang w:bidi="ar"/>
    </w:rPr>
  </w:style>
  <w:style w:type="paragraph" w:customStyle="1" w:styleId="19">
    <w:name w:val="黑体三号"/>
    <w:basedOn w:val="1"/>
    <w:qFormat/>
    <w:uiPriority w:val="0"/>
    <w:pPr>
      <w:widowControl/>
      <w:jc w:val="left"/>
      <w:outlineLvl w:val="0"/>
    </w:pPr>
    <w:rPr>
      <w:rFonts w:hint="eastAsia" w:ascii="黑体" w:hAnsi="黑体" w:eastAsia="黑体" w:cs="黑体"/>
      <w:kern w:val="0"/>
      <w:szCs w:val="32"/>
      <w:lang w:bidi="ar"/>
    </w:rPr>
  </w:style>
  <w:style w:type="paragraph" w:customStyle="1" w:styleId="20">
    <w:name w:val="楷体加粗三号"/>
    <w:basedOn w:val="1"/>
    <w:qFormat/>
    <w:uiPriority w:val="0"/>
    <w:pPr>
      <w:widowControl/>
      <w:jc w:val="left"/>
      <w:outlineLvl w:val="1"/>
    </w:pPr>
    <w:rPr>
      <w:rFonts w:hint="eastAsia" w:ascii="楷体" w:hAnsi="楷体" w:eastAsia="楷体" w:cs="楷体"/>
      <w:b/>
      <w:bCs/>
      <w:kern w:val="0"/>
      <w:szCs w:val="32"/>
      <w:lang w:bidi="ar"/>
    </w:rPr>
  </w:style>
  <w:style w:type="paragraph" w:customStyle="1" w:styleId="21">
    <w:name w:val="仿宋三号正文"/>
    <w:basedOn w:val="1"/>
    <w:qFormat/>
    <w:uiPriority w:val="0"/>
    <w:pPr>
      <w:widowControl/>
      <w:jc w:val="left"/>
    </w:pPr>
    <w:rPr>
      <w:rFonts w:hint="eastAsia" w:ascii="仿宋" w:hAnsi="仿宋" w:cs="仿宋"/>
      <w:kern w:val="0"/>
      <w:szCs w:val="32"/>
      <w:lang w:bidi="ar"/>
    </w:rPr>
  </w:style>
  <w:style w:type="paragraph" w:customStyle="1" w:styleId="22">
    <w:name w:val="（符号）三标题1.1"/>
    <w:basedOn w:val="1"/>
    <w:qFormat/>
    <w:uiPriority w:val="0"/>
    <w:pPr>
      <w:numPr>
        <w:ilvl w:val="1"/>
        <w:numId w:val="1"/>
      </w:numPr>
      <w:spacing w:line="500" w:lineRule="exact"/>
    </w:pPr>
    <w:rPr>
      <w:rFonts w:ascii="宋体" w:hAnsi="宋体"/>
      <w:sz w:val="24"/>
    </w:rPr>
  </w:style>
  <w:style w:type="paragraph" w:customStyle="1" w:styleId="23">
    <w:name w:val="Table Paragraph"/>
    <w:basedOn w:val="1"/>
    <w:qFormat/>
    <w:uiPriority w:val="1"/>
    <w:rPr>
      <w:rFonts w:ascii="宋体" w:hAnsi="宋体" w:eastAsia="宋体" w:cs="宋体"/>
      <w:lang w:val="en-US" w:eastAsia="zh-CN" w:bidi="ar-SA"/>
    </w:rPr>
  </w:style>
  <w:style w:type="paragraph" w:customStyle="1" w:styleId="24">
    <w:name w:val="Table Text"/>
    <w:basedOn w:val="1"/>
    <w:semiHidden/>
    <w:qFormat/>
    <w:uiPriority w:val="0"/>
    <w:rPr>
      <w:rFonts w:ascii="宋体" w:hAnsi="宋体" w:eastAsia="宋体" w:cs="宋体"/>
      <w:sz w:val="24"/>
      <w:szCs w:val="24"/>
      <w:lang w:val="en-US" w:eastAsia="en-US" w:bidi="ar-SA"/>
    </w:rPr>
  </w:style>
  <w:style w:type="table" w:customStyle="1" w:styleId="2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59</Pages>
  <Words>19444</Words>
  <Characters>19844</Characters>
  <Lines>0</Lines>
  <Paragraphs>0</Paragraphs>
  <TotalTime>2</TotalTime>
  <ScaleCrop>false</ScaleCrop>
  <LinksUpToDate>false</LinksUpToDate>
  <CharactersWithSpaces>20642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2025-01-08T03:23:00Z</dcterms:created>
  <dc:creator>工程技术部</dc:creator>
  <cp:lastModifiedBy>小&amp;杰</cp:lastModifiedBy>
  <dcterms:modified xsi:type="dcterms:W3CDTF">2026-06-10T01:35:04Z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E93525E4A36046A88106FBAC56908856_13</vt:lpwstr>
  </property>
  <property fmtid="{D5CDD505-2E9C-101B-9397-08002B2CF9AE}" pid="4" name="KSOTemplateDocerSaveRecord">
    <vt:lpwstr>eyJoZGlkIjoiZDY4ZThmNzg4NjgxZWNjZmI2ODQ0NWJjNWJkMWY2ODQiLCJ1c2VySWQiOiIzNDY3NDYyNDkifQ==</vt:lpwstr>
  </property>
</Properties>
</file>