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827F3">
      <w:pPr>
        <w:spacing w:line="800" w:lineRule="exact"/>
        <w:ind w:right="-33"/>
        <w:outlineLvl w:val="9"/>
        <w:rPr>
          <w:rFonts w:hint="eastAsia" w:ascii="黑体" w:hAnsi="黑体" w:eastAsia="黑体" w:cs="黑体"/>
          <w:b/>
          <w:w w:val="90"/>
          <w:kern w:val="52"/>
          <w:sz w:val="68"/>
          <w:szCs w:val="68"/>
        </w:rPr>
      </w:pPr>
    </w:p>
    <w:p w14:paraId="015B7448">
      <w:pPr>
        <w:spacing w:line="800" w:lineRule="exact"/>
        <w:ind w:right="-33"/>
        <w:outlineLvl w:val="9"/>
        <w:rPr>
          <w:rFonts w:hint="eastAsia" w:ascii="黑体" w:hAnsi="黑体" w:eastAsia="黑体" w:cs="黑体"/>
          <w:b/>
          <w:w w:val="90"/>
          <w:kern w:val="52"/>
          <w:sz w:val="68"/>
          <w:szCs w:val="68"/>
        </w:rPr>
      </w:pPr>
    </w:p>
    <w:p w14:paraId="334DC0C1">
      <w:pPr>
        <w:spacing w:line="800" w:lineRule="exact"/>
        <w:ind w:right="-33"/>
        <w:outlineLvl w:val="9"/>
        <w:rPr>
          <w:rFonts w:hint="eastAsia"/>
          <w:sz w:val="68"/>
          <w:szCs w:val="68"/>
        </w:rPr>
      </w:pPr>
    </w:p>
    <w:p w14:paraId="0A1D5549">
      <w:pPr>
        <w:spacing w:line="800" w:lineRule="exact"/>
        <w:ind w:right="-33"/>
        <w:rPr>
          <w:rFonts w:hint="eastAsia"/>
          <w:sz w:val="56"/>
          <w:szCs w:val="56"/>
        </w:rPr>
      </w:pPr>
    </w:p>
    <w:p w14:paraId="363896ED">
      <w:pPr>
        <w:spacing w:line="288" w:lineRule="auto"/>
        <w:ind w:right="-163"/>
        <w:jc w:val="center"/>
        <w:rPr>
          <w:rFonts w:hint="eastAsia" w:ascii="黑体" w:hAnsi="黑体" w:eastAsia="黑体" w:cs="黑体"/>
          <w:b/>
          <w:w w:val="90"/>
          <w:kern w:val="52"/>
          <w:sz w:val="56"/>
          <w:szCs w:val="56"/>
          <w:lang w:val="en-US" w:eastAsia="zh-CN"/>
        </w:rPr>
      </w:pPr>
      <w:r>
        <w:rPr>
          <w:rFonts w:hint="eastAsia" w:ascii="黑体" w:hAnsi="黑体" w:eastAsia="黑体" w:cs="黑体"/>
          <w:b/>
          <w:w w:val="90"/>
          <w:kern w:val="52"/>
          <w:sz w:val="56"/>
          <w:szCs w:val="56"/>
          <w:lang w:val="en-US" w:eastAsia="zh-CN"/>
        </w:rPr>
        <w:t>张家口霖辉物业管理集团有限公司</w:t>
      </w:r>
    </w:p>
    <w:p w14:paraId="193AB34B">
      <w:pPr>
        <w:spacing w:line="288" w:lineRule="auto"/>
        <w:ind w:right="-163"/>
        <w:jc w:val="center"/>
        <w:rPr>
          <w:rFonts w:hint="default" w:ascii="楷体" w:hAnsi="楷体" w:eastAsia="楷体" w:cs="楷体_GB2312"/>
          <w:b/>
          <w:w w:val="90"/>
          <w:kern w:val="52"/>
          <w:sz w:val="56"/>
          <w:szCs w:val="56"/>
          <w:lang w:val="en-US" w:eastAsia="zh-CN"/>
        </w:rPr>
      </w:pPr>
      <w:r>
        <w:rPr>
          <w:rFonts w:hint="eastAsia" w:ascii="黑体" w:hAnsi="黑体" w:eastAsia="黑体" w:cs="黑体"/>
          <w:b/>
          <w:w w:val="90"/>
          <w:kern w:val="52"/>
          <w:sz w:val="56"/>
          <w:szCs w:val="56"/>
          <w:lang w:val="en-US" w:eastAsia="zh-CN"/>
        </w:rPr>
        <w:t>张家口“四馆”安全保卫服务项目</w:t>
      </w:r>
    </w:p>
    <w:p w14:paraId="7CCFA999">
      <w:pPr>
        <w:pStyle w:val="5"/>
        <w:spacing w:line="288" w:lineRule="auto"/>
        <w:outlineLvl w:val="9"/>
        <w:rPr>
          <w:rFonts w:hint="eastAsia" w:ascii="楷体" w:hAnsi="楷体" w:eastAsia="楷体" w:cs="楷体_GB2312"/>
          <w:sz w:val="56"/>
          <w:szCs w:val="56"/>
        </w:rPr>
      </w:pPr>
    </w:p>
    <w:p w14:paraId="46A386FD">
      <w:pPr>
        <w:pStyle w:val="5"/>
        <w:spacing w:line="288" w:lineRule="auto"/>
        <w:outlineLvl w:val="9"/>
        <w:rPr>
          <w:rFonts w:hint="eastAsia" w:ascii="楷体" w:hAnsi="楷体" w:eastAsia="楷体" w:cs="楷体_GB2312"/>
          <w:sz w:val="56"/>
          <w:szCs w:val="56"/>
        </w:rPr>
      </w:pPr>
    </w:p>
    <w:p w14:paraId="0D7EBF36">
      <w:pPr>
        <w:pStyle w:val="5"/>
        <w:tabs>
          <w:tab w:val="left" w:pos="900"/>
          <w:tab w:val="clear" w:pos="562"/>
          <w:tab w:val="clear" w:pos="3372"/>
          <w:tab w:val="clear" w:pos="3653"/>
        </w:tabs>
        <w:spacing w:line="288" w:lineRule="auto"/>
        <w:jc w:val="center"/>
        <w:outlineLvl w:val="0"/>
        <w:rPr>
          <w:rFonts w:hint="eastAsia" w:ascii="黑体" w:hAnsi="黑体" w:eastAsia="黑体" w:cs="黑体"/>
          <w:b/>
          <w:bCs/>
          <w:sz w:val="56"/>
          <w:szCs w:val="56"/>
        </w:rPr>
      </w:pPr>
      <w:r>
        <w:rPr>
          <w:rFonts w:hint="eastAsia" w:ascii="黑体" w:hAnsi="黑体" w:eastAsia="黑体" w:cs="黑体"/>
          <w:b/>
          <w:bCs/>
          <w:sz w:val="56"/>
          <w:szCs w:val="56"/>
        </w:rPr>
        <w:t>询比采购</w:t>
      </w:r>
      <w:bookmarkStart w:id="0" w:name="_Toc23807"/>
      <w:bookmarkStart w:id="1" w:name="_Toc11733"/>
      <w:bookmarkStart w:id="2" w:name="_Toc17339"/>
      <w:bookmarkStart w:id="3" w:name="_Toc11489"/>
      <w:bookmarkStart w:id="4" w:name="_Toc10192"/>
      <w:bookmarkStart w:id="5" w:name="_Toc8189"/>
      <w:bookmarkStart w:id="6" w:name="_Toc27553"/>
      <w:bookmarkStart w:id="7" w:name="_Toc516235271"/>
      <w:bookmarkStart w:id="8" w:name="_Toc31976"/>
      <w:bookmarkStart w:id="9" w:name="_Toc16161"/>
      <w:bookmarkStart w:id="10" w:name="_Toc10990"/>
      <w:bookmarkStart w:id="11" w:name="_Toc19047"/>
      <w:r>
        <w:rPr>
          <w:rFonts w:hint="eastAsia" w:ascii="黑体" w:hAnsi="黑体" w:eastAsia="黑体" w:cs="黑体"/>
          <w:b/>
          <w:bCs/>
          <w:sz w:val="56"/>
          <w:szCs w:val="56"/>
        </w:rPr>
        <w:t>文件</w:t>
      </w:r>
      <w:bookmarkEnd w:id="0"/>
      <w:bookmarkEnd w:id="1"/>
      <w:bookmarkEnd w:id="2"/>
      <w:bookmarkEnd w:id="3"/>
      <w:bookmarkEnd w:id="4"/>
      <w:bookmarkEnd w:id="5"/>
      <w:bookmarkEnd w:id="6"/>
      <w:bookmarkEnd w:id="7"/>
      <w:bookmarkEnd w:id="8"/>
      <w:bookmarkEnd w:id="9"/>
      <w:bookmarkEnd w:id="10"/>
      <w:bookmarkEnd w:id="11"/>
    </w:p>
    <w:p w14:paraId="07EC5C95">
      <w:pPr>
        <w:pStyle w:val="5"/>
        <w:spacing w:line="288" w:lineRule="auto"/>
        <w:jc w:val="center"/>
        <w:outlineLvl w:val="9"/>
        <w:rPr>
          <w:rFonts w:hint="eastAsia" w:ascii="黑体" w:hAnsi="黑体" w:eastAsia="黑体" w:cs="黑体"/>
          <w:b/>
          <w:bCs/>
          <w:sz w:val="30"/>
          <w:szCs w:val="30"/>
          <w:lang w:eastAsia="zh-CN"/>
        </w:rPr>
      </w:pPr>
    </w:p>
    <w:p w14:paraId="76541BCB">
      <w:pPr>
        <w:pStyle w:val="5"/>
        <w:spacing w:line="288" w:lineRule="auto"/>
        <w:outlineLvl w:val="9"/>
        <w:rPr>
          <w:rFonts w:hint="eastAsia" w:ascii="黑体" w:hAnsi="黑体" w:eastAsia="黑体" w:cs="黑体"/>
          <w:sz w:val="30"/>
          <w:szCs w:val="30"/>
        </w:rPr>
      </w:pPr>
    </w:p>
    <w:p w14:paraId="05C75075">
      <w:pPr>
        <w:pStyle w:val="5"/>
        <w:spacing w:line="288" w:lineRule="auto"/>
        <w:outlineLvl w:val="9"/>
        <w:rPr>
          <w:rFonts w:hint="eastAsia" w:ascii="黑体" w:hAnsi="黑体" w:eastAsia="黑体" w:cs="黑体"/>
          <w:sz w:val="30"/>
          <w:szCs w:val="30"/>
        </w:rPr>
      </w:pPr>
    </w:p>
    <w:p w14:paraId="1BC89A21">
      <w:pPr>
        <w:outlineLvl w:val="9"/>
        <w:rPr>
          <w:rFonts w:hint="eastAsia" w:ascii="黑体" w:hAnsi="黑体" w:eastAsia="黑体" w:cs="黑体"/>
          <w:sz w:val="30"/>
          <w:szCs w:val="30"/>
        </w:rPr>
      </w:pPr>
    </w:p>
    <w:p w14:paraId="1C6A7533">
      <w:pPr>
        <w:pStyle w:val="13"/>
        <w:ind w:left="0" w:leftChars="0" w:firstLine="0" w:firstLineChars="0"/>
        <w:outlineLvl w:val="9"/>
        <w:rPr>
          <w:rFonts w:hint="eastAsia"/>
        </w:rPr>
      </w:pPr>
    </w:p>
    <w:p w14:paraId="3BD4FF49">
      <w:pPr>
        <w:pStyle w:val="5"/>
        <w:spacing w:line="288" w:lineRule="auto"/>
        <w:outlineLvl w:val="9"/>
        <w:rPr>
          <w:rFonts w:hint="eastAsia" w:ascii="黑体" w:hAnsi="黑体" w:eastAsia="黑体" w:cs="黑体"/>
          <w:sz w:val="30"/>
          <w:szCs w:val="30"/>
        </w:rPr>
      </w:pPr>
    </w:p>
    <w:p w14:paraId="097087CF">
      <w:pPr>
        <w:pStyle w:val="5"/>
        <w:spacing w:line="288" w:lineRule="auto"/>
        <w:outlineLvl w:val="9"/>
        <w:rPr>
          <w:rFonts w:hint="eastAsia" w:ascii="黑体" w:hAnsi="黑体" w:eastAsia="黑体" w:cs="黑体"/>
          <w:sz w:val="30"/>
          <w:szCs w:val="30"/>
        </w:rPr>
      </w:pPr>
    </w:p>
    <w:p w14:paraId="47BDD543">
      <w:pPr>
        <w:pStyle w:val="5"/>
        <w:spacing w:line="800" w:lineRule="exact"/>
        <w:outlineLvl w:val="9"/>
        <w:rPr>
          <w:rFonts w:hint="eastAsia" w:ascii="黑体" w:hAnsi="黑体" w:eastAsia="黑体" w:cs="黑体"/>
          <w:b/>
          <w:bCs/>
          <w:sz w:val="32"/>
          <w:szCs w:val="32"/>
        </w:rPr>
      </w:pPr>
      <w:bookmarkStart w:id="12" w:name="_Toc28497"/>
      <w:bookmarkStart w:id="13" w:name="_Toc516235273"/>
      <w:bookmarkStart w:id="14" w:name="_Toc3374"/>
      <w:bookmarkStart w:id="15" w:name="_Toc7426"/>
      <w:bookmarkStart w:id="16" w:name="_Toc3316"/>
      <w:bookmarkStart w:id="17" w:name="_Toc15976"/>
      <w:bookmarkStart w:id="18" w:name="_Toc19507"/>
      <w:bookmarkStart w:id="19" w:name="_Toc24700"/>
      <w:bookmarkStart w:id="20" w:name="_Toc26372"/>
      <w:bookmarkStart w:id="21" w:name="_Toc21566"/>
      <w:bookmarkStart w:id="22" w:name="_Toc19294"/>
      <w:bookmarkStart w:id="23" w:name="_Toc25456"/>
      <w:r>
        <w:rPr>
          <w:rFonts w:hint="eastAsia" w:ascii="黑体" w:hAnsi="黑体" w:eastAsia="黑体" w:cs="黑体"/>
          <w:b/>
          <w:bCs/>
          <w:sz w:val="32"/>
          <w:szCs w:val="32"/>
        </w:rPr>
        <w:t>采购单位：</w:t>
      </w:r>
      <w:bookmarkEnd w:id="12"/>
      <w:bookmarkEnd w:id="13"/>
      <w:bookmarkEnd w:id="14"/>
      <w:bookmarkEnd w:id="15"/>
      <w:bookmarkEnd w:id="16"/>
      <w:bookmarkEnd w:id="17"/>
      <w:bookmarkEnd w:id="18"/>
      <w:bookmarkEnd w:id="19"/>
      <w:bookmarkEnd w:id="20"/>
      <w:bookmarkEnd w:id="21"/>
      <w:bookmarkEnd w:id="22"/>
      <w:bookmarkEnd w:id="23"/>
      <w:r>
        <w:rPr>
          <w:rFonts w:hint="eastAsia" w:ascii="黑体" w:hAnsi="黑体" w:eastAsia="黑体" w:cs="黑体"/>
          <w:b/>
          <w:bCs/>
          <w:sz w:val="32"/>
          <w:szCs w:val="32"/>
          <w:lang w:val="en-US" w:eastAsia="zh-CN"/>
        </w:rPr>
        <w:t>张家口霖辉物业管理集团有限公司</w:t>
      </w:r>
    </w:p>
    <w:p w14:paraId="00FC3AE0">
      <w:pPr>
        <w:pStyle w:val="5"/>
        <w:spacing w:line="800" w:lineRule="exact"/>
        <w:outlineLvl w:val="9"/>
        <w:rPr>
          <w:rFonts w:hint="eastAsia" w:ascii="黑体" w:hAnsi="黑体" w:eastAsia="黑体" w:cs="黑体"/>
          <w:b/>
          <w:bCs/>
          <w:sz w:val="32"/>
          <w:szCs w:val="32"/>
        </w:rPr>
      </w:pPr>
      <w:bookmarkStart w:id="24" w:name="_Toc11538"/>
      <w:bookmarkStart w:id="25" w:name="_Toc2112"/>
      <w:bookmarkStart w:id="26" w:name="_Toc2171"/>
      <w:bookmarkStart w:id="27" w:name="_Toc20462"/>
      <w:bookmarkStart w:id="28" w:name="_Toc22648"/>
      <w:bookmarkStart w:id="29" w:name="_Toc28335"/>
      <w:bookmarkStart w:id="30" w:name="_Toc30236"/>
      <w:bookmarkStart w:id="31" w:name="_Toc516235275"/>
      <w:bookmarkStart w:id="32" w:name="_Toc11462"/>
      <w:bookmarkStart w:id="33" w:name="_Toc16456"/>
      <w:bookmarkStart w:id="34" w:name="_Toc10996"/>
      <w:bookmarkStart w:id="35" w:name="_Toc26166"/>
      <w:r>
        <w:rPr>
          <w:rFonts w:hint="eastAsia" w:ascii="黑体" w:hAnsi="黑体" w:eastAsia="黑体" w:cs="黑体"/>
          <w:b/>
          <w:bCs/>
          <w:sz w:val="32"/>
          <w:szCs w:val="32"/>
        </w:rPr>
        <w:t>编制日期：202</w:t>
      </w:r>
      <w:r>
        <w:rPr>
          <w:rFonts w:hint="eastAsia" w:ascii="黑体" w:hAnsi="黑体" w:eastAsia="黑体" w:cs="黑体"/>
          <w:b/>
          <w:bCs/>
          <w:sz w:val="32"/>
          <w:szCs w:val="32"/>
          <w:lang w:val="en-US" w:eastAsia="zh-CN"/>
        </w:rPr>
        <w:t>5</w:t>
      </w:r>
      <w:r>
        <w:rPr>
          <w:rFonts w:hint="eastAsia" w:ascii="黑体" w:hAnsi="黑体" w:eastAsia="黑体" w:cs="黑体"/>
          <w:b/>
          <w:bCs/>
          <w:sz w:val="32"/>
          <w:szCs w:val="32"/>
        </w:rPr>
        <w:t>年</w:t>
      </w:r>
      <w:r>
        <w:rPr>
          <w:rFonts w:hint="eastAsia" w:ascii="黑体" w:hAnsi="黑体" w:eastAsia="黑体" w:cs="黑体"/>
          <w:b/>
          <w:bCs/>
          <w:sz w:val="32"/>
          <w:szCs w:val="32"/>
          <w:lang w:val="en-US" w:eastAsia="zh-CN"/>
        </w:rPr>
        <w:t>11</w:t>
      </w:r>
      <w:r>
        <w:rPr>
          <w:rFonts w:hint="eastAsia" w:ascii="黑体" w:hAnsi="黑体" w:eastAsia="黑体" w:cs="黑体"/>
          <w:b/>
          <w:bCs/>
          <w:sz w:val="32"/>
          <w:szCs w:val="32"/>
        </w:rPr>
        <w:t>月</w:t>
      </w:r>
      <w:bookmarkEnd w:id="24"/>
      <w:bookmarkEnd w:id="25"/>
      <w:bookmarkEnd w:id="26"/>
      <w:bookmarkEnd w:id="27"/>
      <w:bookmarkEnd w:id="28"/>
      <w:bookmarkEnd w:id="29"/>
      <w:bookmarkEnd w:id="30"/>
      <w:bookmarkEnd w:id="31"/>
      <w:bookmarkEnd w:id="32"/>
      <w:bookmarkEnd w:id="33"/>
      <w:bookmarkEnd w:id="34"/>
      <w:bookmarkEnd w:id="35"/>
    </w:p>
    <w:p w14:paraId="1FF655B2">
      <w:pPr>
        <w:rPr>
          <w:rFonts w:hint="eastAsia"/>
          <w:b w:val="0"/>
          <w:bCs w:val="0"/>
          <w:color w:val="000000"/>
        </w:rPr>
      </w:pPr>
      <w:r>
        <w:rPr>
          <w:rFonts w:hint="eastAsia"/>
          <w:b w:val="0"/>
          <w:bCs w:val="0"/>
          <w:color w:val="000000"/>
        </w:rPr>
        <w:br w:type="page"/>
      </w:r>
    </w:p>
    <w:p w14:paraId="4A211529">
      <w:pPr>
        <w:pStyle w:val="2"/>
        <w:spacing w:line="360" w:lineRule="exact"/>
        <w:rPr>
          <w:rFonts w:hint="eastAsia"/>
          <w:b w:val="0"/>
          <w:bCs w:val="0"/>
          <w:color w:val="000000"/>
        </w:rPr>
      </w:pPr>
      <w:r>
        <w:rPr>
          <w:rFonts w:hint="eastAsia"/>
          <w:b w:val="0"/>
          <w:bCs w:val="0"/>
          <w:color w:val="000000"/>
        </w:rPr>
        <w:t>第一部分</w:t>
      </w:r>
      <w:r>
        <w:rPr>
          <w:rFonts w:hint="eastAsia"/>
          <w:b w:val="0"/>
          <w:bCs w:val="0"/>
          <w:color w:val="000000"/>
          <w:lang w:val="en-US" w:eastAsia="zh-CN"/>
        </w:rPr>
        <w:t xml:space="preserve">  询比</w:t>
      </w:r>
      <w:r>
        <w:rPr>
          <w:rFonts w:hint="eastAsia"/>
          <w:b w:val="0"/>
          <w:bCs w:val="0"/>
          <w:color w:val="000000"/>
        </w:rPr>
        <w:t>邀请函</w:t>
      </w:r>
    </w:p>
    <w:p w14:paraId="6746092F">
      <w:pPr>
        <w:pStyle w:val="8"/>
        <w:spacing w:line="420" w:lineRule="exact"/>
        <w:rPr>
          <w:rFonts w:hint="eastAsia"/>
          <w:color w:val="000000"/>
        </w:rPr>
      </w:pPr>
    </w:p>
    <w:p w14:paraId="55106328">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有限公司对</w:t>
      </w:r>
      <w:r>
        <w:rPr>
          <w:rFonts w:hint="eastAsia" w:asciiTheme="minorEastAsia" w:hAnsiTheme="minorEastAsia" w:eastAsiaTheme="minorEastAsia" w:cstheme="minorEastAsia"/>
          <w:sz w:val="24"/>
          <w:szCs w:val="24"/>
          <w:lang w:val="en-US" w:eastAsia="zh-CN"/>
        </w:rPr>
        <w:t>张家口“四馆”安全保卫服务</w:t>
      </w:r>
      <w:r>
        <w:rPr>
          <w:rFonts w:hint="eastAsia" w:asciiTheme="minorEastAsia" w:hAnsiTheme="minorEastAsia" w:eastAsiaTheme="minorEastAsia" w:cstheme="minorEastAsia"/>
          <w:sz w:val="24"/>
          <w:szCs w:val="24"/>
        </w:rPr>
        <w:t>以询比采购的方式进行采购，</w:t>
      </w:r>
      <w:r>
        <w:rPr>
          <w:rFonts w:hint="eastAsia" w:asciiTheme="minorEastAsia" w:hAnsiTheme="minorEastAsia" w:eastAsiaTheme="minorEastAsia" w:cstheme="minorEastAsia"/>
          <w:color w:val="000000"/>
          <w:sz w:val="24"/>
          <w:szCs w:val="24"/>
        </w:rPr>
        <w:t>现邀请合格的供应商就询比采购文件中的内容进行投标</w:t>
      </w:r>
      <w:r>
        <w:rPr>
          <w:rFonts w:hint="eastAsia" w:asciiTheme="minorEastAsia" w:hAnsiTheme="minorEastAsia" w:eastAsiaTheme="minorEastAsia" w:cstheme="minorEastAsia"/>
          <w:sz w:val="24"/>
          <w:szCs w:val="24"/>
        </w:rPr>
        <w:t>。</w:t>
      </w:r>
    </w:p>
    <w:p w14:paraId="3D98EE41">
      <w:pPr>
        <w:pageBreakBefore w:val="0"/>
        <w:kinsoku/>
        <w:wordWrap/>
        <w:overflowPunct/>
        <w:topLinePunct w:val="0"/>
        <w:bidi w:val="0"/>
        <w:spacing w:before="79" w:line="560" w:lineRule="exact"/>
        <w:ind w:left="38" w:right="69" w:firstLine="485"/>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z w:val="24"/>
          <w:szCs w:val="24"/>
        </w:rPr>
        <w:t>张家口“四馆”位于张家口市经开区纬二路长城</w:t>
      </w:r>
      <w:r>
        <w:rPr>
          <w:rFonts w:hint="eastAsia" w:asciiTheme="minorEastAsia" w:hAnsiTheme="minorEastAsia" w:eastAsiaTheme="minorEastAsia" w:cstheme="minorEastAsia"/>
          <w:spacing w:val="-1"/>
          <w:sz w:val="24"/>
          <w:szCs w:val="24"/>
        </w:rPr>
        <w:t>西大街与中兴北路交叉处。项目总占地</w:t>
      </w:r>
      <w:r>
        <w:rPr>
          <w:rFonts w:hint="eastAsia" w:asciiTheme="minorEastAsia" w:hAnsiTheme="minorEastAsia" w:eastAsiaTheme="minorEastAsia" w:cstheme="minorEastAsia"/>
          <w:spacing w:val="7"/>
          <w:sz w:val="24"/>
          <w:szCs w:val="24"/>
        </w:rPr>
        <w:t>面积为118334m²,总建筑面积88000m²,其中图书馆（A馆）建筑面积22800m²,共地下一</w:t>
      </w:r>
      <w:r>
        <w:rPr>
          <w:rFonts w:hint="eastAsia" w:asciiTheme="minorEastAsia" w:hAnsiTheme="minorEastAsia" w:eastAsiaTheme="minorEastAsia" w:cstheme="minorEastAsia"/>
          <w:spacing w:val="2"/>
          <w:sz w:val="24"/>
          <w:szCs w:val="24"/>
        </w:rPr>
        <w:t>层至地上四层；档案馆（B馆）建筑面积10700m²,共地下一层至地</w:t>
      </w:r>
      <w:r>
        <w:rPr>
          <w:rFonts w:hint="eastAsia" w:asciiTheme="minorEastAsia" w:hAnsiTheme="minorEastAsia" w:eastAsiaTheme="minorEastAsia" w:cstheme="minorEastAsia"/>
          <w:spacing w:val="1"/>
          <w:sz w:val="24"/>
          <w:szCs w:val="24"/>
        </w:rPr>
        <w:t>上六层；博物馆（C</w:t>
      </w:r>
      <w:r>
        <w:rPr>
          <w:rFonts w:hint="eastAsia" w:asciiTheme="minorEastAsia" w:hAnsiTheme="minorEastAsia" w:eastAsiaTheme="minorEastAsia" w:cstheme="minorEastAsia"/>
          <w:spacing w:val="4"/>
          <w:sz w:val="24"/>
          <w:szCs w:val="24"/>
        </w:rPr>
        <w:t>馆）建筑面积12500m²,共地上二层至地上四层；规划馆（C馆）建筑面积7300m²,</w:t>
      </w:r>
      <w:r>
        <w:rPr>
          <w:rFonts w:hint="eastAsia" w:asciiTheme="minorEastAsia" w:hAnsiTheme="minorEastAsia" w:eastAsiaTheme="minorEastAsia" w:cstheme="minorEastAsia"/>
          <w:spacing w:val="3"/>
          <w:sz w:val="24"/>
          <w:szCs w:val="24"/>
        </w:rPr>
        <w:t>共地下</w:t>
      </w:r>
      <w:r>
        <w:rPr>
          <w:rFonts w:hint="eastAsia" w:asciiTheme="minorEastAsia" w:hAnsiTheme="minorEastAsia" w:eastAsiaTheme="minorEastAsia" w:cstheme="minorEastAsia"/>
          <w:sz w:val="24"/>
          <w:szCs w:val="24"/>
        </w:rPr>
        <w:t>一层至地上一层；公用部分为地下车库及相</w:t>
      </w:r>
      <w:r>
        <w:rPr>
          <w:rFonts w:hint="eastAsia" w:asciiTheme="minorEastAsia" w:hAnsiTheme="minorEastAsia" w:eastAsiaTheme="minorEastAsia" w:cstheme="minorEastAsia"/>
          <w:spacing w:val="-1"/>
          <w:sz w:val="24"/>
          <w:szCs w:val="24"/>
        </w:rPr>
        <w:t>关配套用房总建筑面积为34700m²。</w:t>
      </w:r>
    </w:p>
    <w:p w14:paraId="235048BA">
      <w:pPr>
        <w:keepNext w:val="0"/>
        <w:keepLines w:val="0"/>
        <w:pageBreakBefore w:val="0"/>
        <w:kinsoku/>
        <w:wordWrap/>
        <w:overflowPunct/>
        <w:topLinePunct w:val="0"/>
        <w:bidi w:val="0"/>
        <w:spacing w:before="79" w:line="560" w:lineRule="exact"/>
        <w:ind w:left="38" w:right="69" w:firstLine="48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图书馆（A馆）建筑：图书馆地下一层面向下沉广场一侧设置各类接待</w:t>
      </w:r>
      <w:r>
        <w:rPr>
          <w:rFonts w:hint="eastAsia" w:asciiTheme="minorEastAsia" w:hAnsiTheme="minorEastAsia" w:eastAsiaTheme="minorEastAsia" w:cstheme="minorEastAsia"/>
          <w:spacing w:val="-2"/>
          <w:sz w:val="24"/>
          <w:szCs w:val="24"/>
        </w:rPr>
        <w:t>空间、多功能</w:t>
      </w:r>
      <w:r>
        <w:rPr>
          <w:rFonts w:hint="eastAsia" w:asciiTheme="minorEastAsia" w:hAnsiTheme="minorEastAsia" w:eastAsiaTheme="minorEastAsia" w:cstheme="minorEastAsia"/>
          <w:sz w:val="24"/>
          <w:szCs w:val="24"/>
        </w:rPr>
        <w:t>厅、报告厅及陈列展览等公共空间，技术通廊一侧则设置各类</w:t>
      </w:r>
      <w:r>
        <w:rPr>
          <w:rFonts w:hint="eastAsia" w:asciiTheme="minorEastAsia" w:hAnsiTheme="minorEastAsia" w:eastAsiaTheme="minorEastAsia" w:cstheme="minorEastAsia"/>
          <w:spacing w:val="-1"/>
          <w:sz w:val="24"/>
          <w:szCs w:val="24"/>
        </w:rPr>
        <w:t>图书馆技术处理用房，并在其</w:t>
      </w:r>
      <w:r>
        <w:rPr>
          <w:rFonts w:hint="eastAsia" w:asciiTheme="minorEastAsia" w:hAnsiTheme="minorEastAsia" w:eastAsiaTheme="minorEastAsia" w:cstheme="minorEastAsia"/>
          <w:sz w:val="24"/>
          <w:szCs w:val="24"/>
        </w:rPr>
        <w:t>上方夹层设置基本书库，地下一层南侧设有四馆共享餐厅及厨房（</w:t>
      </w:r>
      <w:r>
        <w:rPr>
          <w:rFonts w:hint="eastAsia" w:asciiTheme="minorEastAsia" w:hAnsiTheme="minorEastAsia" w:eastAsiaTheme="minorEastAsia" w:cstheme="minorEastAsia"/>
          <w:spacing w:val="-1"/>
          <w:sz w:val="24"/>
          <w:szCs w:val="24"/>
        </w:rPr>
        <w:t>暂未投入使用）。建筑首</w:t>
      </w:r>
      <w:r>
        <w:rPr>
          <w:rFonts w:hint="eastAsia" w:asciiTheme="minorEastAsia" w:hAnsiTheme="minorEastAsia" w:eastAsiaTheme="minorEastAsia" w:cstheme="minorEastAsia"/>
          <w:sz w:val="24"/>
          <w:szCs w:val="24"/>
        </w:rPr>
        <w:t>层至三层为图书馆主要阅览区，四层南北两部分分别设置机房及办</w:t>
      </w:r>
      <w:r>
        <w:rPr>
          <w:rFonts w:hint="eastAsia" w:asciiTheme="minorEastAsia" w:hAnsiTheme="minorEastAsia" w:eastAsiaTheme="minorEastAsia" w:cstheme="minorEastAsia"/>
          <w:spacing w:val="-1"/>
          <w:sz w:val="24"/>
          <w:szCs w:val="24"/>
        </w:rPr>
        <w:t>公区。两部分通过室内连廊进行连接，四层的室外空间用于布置冷却塔、空调室外机等四</w:t>
      </w:r>
      <w:r>
        <w:rPr>
          <w:rFonts w:hint="eastAsia" w:asciiTheme="minorEastAsia" w:hAnsiTheme="minorEastAsia" w:eastAsiaTheme="minorEastAsia" w:cstheme="minorEastAsia"/>
          <w:spacing w:val="-2"/>
          <w:sz w:val="24"/>
          <w:szCs w:val="24"/>
        </w:rPr>
        <w:t>馆共用设备机器。</w:t>
      </w:r>
    </w:p>
    <w:p w14:paraId="17B3465C">
      <w:pPr>
        <w:keepNext w:val="0"/>
        <w:keepLines w:val="0"/>
        <w:pageBreakBefore w:val="0"/>
        <w:kinsoku/>
        <w:wordWrap/>
        <w:overflowPunct/>
        <w:topLinePunct w:val="0"/>
        <w:bidi w:val="0"/>
        <w:spacing w:before="34" w:line="560" w:lineRule="exact"/>
        <w:ind w:left="38" w:right="69"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档案馆（B馆）建筑：档案馆建筑地下一层东侧布置公共大堂及展览空间，西侧通廊的</w:t>
      </w:r>
      <w:r>
        <w:rPr>
          <w:rFonts w:hint="eastAsia" w:asciiTheme="minorEastAsia" w:hAnsiTheme="minorEastAsia" w:eastAsiaTheme="minorEastAsia" w:cstheme="minorEastAsia"/>
          <w:sz w:val="24"/>
          <w:szCs w:val="24"/>
        </w:rPr>
        <w:t>两侧布置各类设备技术用房。建筑首层设置各类公共服务空间，如</w:t>
      </w:r>
      <w:r>
        <w:rPr>
          <w:rFonts w:hint="eastAsia" w:asciiTheme="minorEastAsia" w:hAnsiTheme="minorEastAsia" w:eastAsiaTheme="minorEastAsia" w:cstheme="minorEastAsia"/>
          <w:spacing w:val="-1"/>
          <w:sz w:val="24"/>
          <w:szCs w:val="24"/>
        </w:rPr>
        <w:t>查阅登记、阅览室、鉴证</w:t>
      </w:r>
      <w:r>
        <w:rPr>
          <w:rFonts w:hint="eastAsia" w:asciiTheme="minorEastAsia" w:hAnsiTheme="minorEastAsia" w:eastAsiaTheme="minorEastAsia" w:cstheme="minorEastAsia"/>
          <w:sz w:val="24"/>
          <w:szCs w:val="24"/>
        </w:rPr>
        <w:t>服务中心等。从二层起建筑功能从中间一分为二，西侧设置各类档</w:t>
      </w:r>
      <w:r>
        <w:rPr>
          <w:rFonts w:hint="eastAsia" w:asciiTheme="minorEastAsia" w:hAnsiTheme="minorEastAsia" w:eastAsiaTheme="minorEastAsia" w:cstheme="minorEastAsia"/>
          <w:spacing w:val="-1"/>
          <w:sz w:val="24"/>
          <w:szCs w:val="24"/>
        </w:rPr>
        <w:t>案库房。通过档案货梯将每层库房相连接；东侧设置各类办公技术用</w:t>
      </w:r>
      <w:r>
        <w:rPr>
          <w:rFonts w:hint="eastAsia" w:asciiTheme="minorEastAsia" w:hAnsiTheme="minorEastAsia" w:eastAsiaTheme="minorEastAsia" w:cstheme="minorEastAsia"/>
          <w:spacing w:val="-2"/>
          <w:sz w:val="24"/>
          <w:szCs w:val="24"/>
        </w:rPr>
        <w:t>房；并于顶层设置报告厅。</w:t>
      </w:r>
    </w:p>
    <w:p w14:paraId="154E4CFD">
      <w:pPr>
        <w:keepNext w:val="0"/>
        <w:keepLines w:val="0"/>
        <w:pageBreakBefore w:val="0"/>
        <w:kinsoku/>
        <w:wordWrap/>
        <w:overflowPunct/>
        <w:topLinePunct w:val="0"/>
        <w:bidi w:val="0"/>
        <w:spacing w:before="35" w:line="560" w:lineRule="exact"/>
        <w:ind w:left="37" w:right="69" w:firstLine="479"/>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C馆建筑：内包含张家口历史文化展览功能及城</w:t>
      </w:r>
      <w:r>
        <w:rPr>
          <w:rFonts w:hint="eastAsia" w:asciiTheme="minorEastAsia" w:hAnsiTheme="minorEastAsia" w:eastAsiaTheme="minorEastAsia" w:cstheme="minorEastAsia"/>
          <w:spacing w:val="-1"/>
          <w:sz w:val="24"/>
          <w:szCs w:val="24"/>
        </w:rPr>
        <w:t>市规划展览功能。城市规划展览布置在</w:t>
      </w:r>
      <w:r>
        <w:rPr>
          <w:rFonts w:hint="eastAsia" w:asciiTheme="minorEastAsia" w:hAnsiTheme="minorEastAsia" w:eastAsiaTheme="minorEastAsia" w:cstheme="minorEastAsia"/>
          <w:sz w:val="24"/>
          <w:szCs w:val="24"/>
        </w:rPr>
        <w:t>建筑下沉广场层（即地下一层）及地上一层，其中城市数字模型展览</w:t>
      </w:r>
      <w:r>
        <w:rPr>
          <w:rFonts w:hint="eastAsia" w:asciiTheme="minorEastAsia" w:hAnsiTheme="minorEastAsia" w:eastAsiaTheme="minorEastAsia" w:cstheme="minorEastAsia"/>
          <w:spacing w:val="-1"/>
          <w:sz w:val="24"/>
          <w:szCs w:val="24"/>
        </w:rPr>
        <w:t>的空间屏及设备用房下</w:t>
      </w:r>
      <w:r>
        <w:rPr>
          <w:rFonts w:hint="eastAsia" w:asciiTheme="minorEastAsia" w:hAnsiTheme="minorEastAsia" w:eastAsiaTheme="minorEastAsia" w:cstheme="minorEastAsia"/>
          <w:sz w:val="24"/>
          <w:szCs w:val="24"/>
        </w:rPr>
        <w:t>伸至地下一层。建筑二层、三层布置各类历史文化展览区。建筑四层</w:t>
      </w:r>
      <w:r>
        <w:rPr>
          <w:rFonts w:hint="eastAsia" w:asciiTheme="minorEastAsia" w:hAnsiTheme="minorEastAsia" w:eastAsiaTheme="minorEastAsia" w:cstheme="minorEastAsia"/>
          <w:spacing w:val="-1"/>
          <w:sz w:val="24"/>
          <w:szCs w:val="24"/>
        </w:rPr>
        <w:t>设置文物库区、办公技</w:t>
      </w:r>
      <w:r>
        <w:rPr>
          <w:rFonts w:hint="eastAsia" w:asciiTheme="minorEastAsia" w:hAnsiTheme="minorEastAsia" w:eastAsiaTheme="minorEastAsia" w:cstheme="minorEastAsia"/>
          <w:spacing w:val="-2"/>
          <w:sz w:val="24"/>
          <w:szCs w:val="24"/>
        </w:rPr>
        <w:t>术用房及临时展览区。屋顶部分设置有四馆共用的屋顶水箱间。</w:t>
      </w:r>
    </w:p>
    <w:p w14:paraId="062E77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各楼层使用情况表</w:t>
      </w:r>
    </w:p>
    <w:tbl>
      <w:tblPr>
        <w:tblStyle w:val="24"/>
        <w:tblW w:w="83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9"/>
        <w:gridCol w:w="2461"/>
        <w:gridCol w:w="3621"/>
      </w:tblGrid>
      <w:tr w14:paraId="27936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2259" w:type="dxa"/>
            <w:tcBorders>
              <w:top w:val="single" w:color="000000" w:sz="6" w:space="0"/>
              <w:left w:val="single" w:color="000000" w:sz="6" w:space="0"/>
            </w:tcBorders>
            <w:vAlign w:val="center"/>
          </w:tcPr>
          <w:p w14:paraId="42A0DF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建筑名称</w:t>
            </w:r>
          </w:p>
        </w:tc>
        <w:tc>
          <w:tcPr>
            <w:tcW w:w="2461" w:type="dxa"/>
            <w:tcBorders>
              <w:top w:val="single" w:color="000000" w:sz="6" w:space="0"/>
            </w:tcBorders>
            <w:vAlign w:val="center"/>
          </w:tcPr>
          <w:p w14:paraId="68377C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楼层</w:t>
            </w:r>
          </w:p>
        </w:tc>
        <w:tc>
          <w:tcPr>
            <w:tcW w:w="3621" w:type="dxa"/>
            <w:tcBorders>
              <w:top w:val="single" w:color="000000" w:sz="6" w:space="0"/>
              <w:right w:val="single" w:color="000000" w:sz="6" w:space="0"/>
            </w:tcBorders>
            <w:vAlign w:val="center"/>
          </w:tcPr>
          <w:p w14:paraId="70560D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功能</w:t>
            </w:r>
          </w:p>
        </w:tc>
      </w:tr>
      <w:tr w14:paraId="3CD4C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restart"/>
            <w:tcBorders>
              <w:left w:val="single" w:color="000000" w:sz="6" w:space="0"/>
              <w:bottom w:val="nil"/>
            </w:tcBorders>
            <w:vAlign w:val="center"/>
          </w:tcPr>
          <w:p w14:paraId="06E1F8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图书馆</w:t>
            </w:r>
          </w:p>
        </w:tc>
        <w:tc>
          <w:tcPr>
            <w:tcW w:w="2461" w:type="dxa"/>
            <w:vAlign w:val="center"/>
          </w:tcPr>
          <w:p w14:paraId="60D3C1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负一层</w:t>
            </w:r>
          </w:p>
        </w:tc>
        <w:tc>
          <w:tcPr>
            <w:tcW w:w="3621" w:type="dxa"/>
            <w:tcBorders>
              <w:right w:val="single" w:color="000000" w:sz="6" w:space="0"/>
            </w:tcBorders>
            <w:vAlign w:val="center"/>
          </w:tcPr>
          <w:p w14:paraId="614367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服务大厅与报告厅、库区</w:t>
            </w:r>
          </w:p>
        </w:tc>
      </w:tr>
      <w:tr w14:paraId="4D3FB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096F9E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42D524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一层</w:t>
            </w:r>
          </w:p>
        </w:tc>
        <w:tc>
          <w:tcPr>
            <w:tcW w:w="3621" w:type="dxa"/>
            <w:tcBorders>
              <w:right w:val="single" w:color="000000" w:sz="6" w:space="0"/>
            </w:tcBorders>
            <w:vAlign w:val="center"/>
          </w:tcPr>
          <w:p w14:paraId="7BF7F3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少儿与多媒体阅读区</w:t>
            </w:r>
          </w:p>
        </w:tc>
      </w:tr>
      <w:tr w14:paraId="26F56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continue"/>
            <w:tcBorders>
              <w:top w:val="nil"/>
              <w:left w:val="single" w:color="000000" w:sz="6" w:space="0"/>
              <w:bottom w:val="nil"/>
            </w:tcBorders>
            <w:vAlign w:val="center"/>
          </w:tcPr>
          <w:p w14:paraId="6CA85A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2A048D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二层</w:t>
            </w:r>
          </w:p>
        </w:tc>
        <w:tc>
          <w:tcPr>
            <w:tcW w:w="3621" w:type="dxa"/>
            <w:tcBorders>
              <w:right w:val="single" w:color="000000" w:sz="6" w:space="0"/>
            </w:tcBorders>
            <w:vAlign w:val="center"/>
          </w:tcPr>
          <w:p w14:paraId="08B422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成人阅读区与库区</w:t>
            </w:r>
          </w:p>
        </w:tc>
      </w:tr>
      <w:tr w14:paraId="63A09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6DFDF1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31C54C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三层</w:t>
            </w:r>
          </w:p>
        </w:tc>
        <w:tc>
          <w:tcPr>
            <w:tcW w:w="3621" w:type="dxa"/>
            <w:tcBorders>
              <w:right w:val="single" w:color="000000" w:sz="6" w:space="0"/>
            </w:tcBorders>
            <w:vAlign w:val="center"/>
          </w:tcPr>
          <w:p w14:paraId="7E380E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阅读区与库区</w:t>
            </w:r>
          </w:p>
        </w:tc>
      </w:tr>
      <w:tr w14:paraId="03078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tcBorders>
            <w:vAlign w:val="center"/>
          </w:tcPr>
          <w:p w14:paraId="57C5C3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370047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四层</w:t>
            </w:r>
          </w:p>
        </w:tc>
        <w:tc>
          <w:tcPr>
            <w:tcW w:w="3621" w:type="dxa"/>
            <w:tcBorders>
              <w:right w:val="single" w:color="000000" w:sz="6" w:space="0"/>
            </w:tcBorders>
            <w:vAlign w:val="center"/>
          </w:tcPr>
          <w:p w14:paraId="7C3792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行政办公区</w:t>
            </w:r>
          </w:p>
        </w:tc>
      </w:tr>
      <w:tr w14:paraId="4FC7E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restart"/>
            <w:tcBorders>
              <w:left w:val="single" w:color="000000" w:sz="6" w:space="0"/>
              <w:bottom w:val="nil"/>
            </w:tcBorders>
            <w:vAlign w:val="center"/>
          </w:tcPr>
          <w:p w14:paraId="5001A9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博物馆和规划馆</w:t>
            </w:r>
          </w:p>
        </w:tc>
        <w:tc>
          <w:tcPr>
            <w:tcW w:w="2461" w:type="dxa"/>
            <w:vAlign w:val="center"/>
          </w:tcPr>
          <w:p w14:paraId="43B055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负一层</w:t>
            </w:r>
          </w:p>
        </w:tc>
        <w:tc>
          <w:tcPr>
            <w:tcW w:w="3621" w:type="dxa"/>
            <w:tcBorders>
              <w:right w:val="single" w:color="000000" w:sz="6" w:space="0"/>
            </w:tcBorders>
            <w:vAlign w:val="center"/>
          </w:tcPr>
          <w:p w14:paraId="1F99CD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博物馆服务大厅与规划馆展厅</w:t>
            </w:r>
          </w:p>
        </w:tc>
      </w:tr>
      <w:tr w14:paraId="05522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15CD6D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3F79C1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一层</w:t>
            </w:r>
          </w:p>
        </w:tc>
        <w:tc>
          <w:tcPr>
            <w:tcW w:w="3621" w:type="dxa"/>
            <w:tcBorders>
              <w:right w:val="single" w:color="000000" w:sz="6" w:space="0"/>
            </w:tcBorders>
            <w:vAlign w:val="center"/>
          </w:tcPr>
          <w:p w14:paraId="339FFA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规划馆</w:t>
            </w:r>
          </w:p>
        </w:tc>
      </w:tr>
      <w:tr w14:paraId="6DD7E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5EA3D0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37AE12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二层</w:t>
            </w:r>
          </w:p>
        </w:tc>
        <w:tc>
          <w:tcPr>
            <w:tcW w:w="3621" w:type="dxa"/>
            <w:tcBorders>
              <w:right w:val="single" w:color="000000" w:sz="6" w:space="0"/>
            </w:tcBorders>
            <w:vAlign w:val="center"/>
          </w:tcPr>
          <w:p w14:paraId="17C064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博物馆展厅</w:t>
            </w:r>
          </w:p>
        </w:tc>
      </w:tr>
      <w:tr w14:paraId="0D854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continue"/>
            <w:tcBorders>
              <w:top w:val="nil"/>
              <w:left w:val="single" w:color="000000" w:sz="6" w:space="0"/>
              <w:bottom w:val="nil"/>
            </w:tcBorders>
            <w:vAlign w:val="center"/>
          </w:tcPr>
          <w:p w14:paraId="0DD3BB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34DF01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三层</w:t>
            </w:r>
          </w:p>
        </w:tc>
        <w:tc>
          <w:tcPr>
            <w:tcW w:w="3621" w:type="dxa"/>
            <w:tcBorders>
              <w:right w:val="single" w:color="000000" w:sz="6" w:space="0"/>
            </w:tcBorders>
            <w:vAlign w:val="center"/>
          </w:tcPr>
          <w:p w14:paraId="759E2E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博物馆展厅与库区</w:t>
            </w:r>
          </w:p>
        </w:tc>
      </w:tr>
      <w:tr w14:paraId="156A7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259" w:type="dxa"/>
            <w:vMerge w:val="continue"/>
            <w:tcBorders>
              <w:top w:val="nil"/>
              <w:left w:val="single" w:color="000000" w:sz="6" w:space="0"/>
            </w:tcBorders>
            <w:vAlign w:val="center"/>
          </w:tcPr>
          <w:p w14:paraId="16D796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33B332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四层</w:t>
            </w:r>
          </w:p>
        </w:tc>
        <w:tc>
          <w:tcPr>
            <w:tcW w:w="3621" w:type="dxa"/>
            <w:tcBorders>
              <w:right w:val="single" w:color="000000" w:sz="6" w:space="0"/>
            </w:tcBorders>
            <w:vAlign w:val="center"/>
          </w:tcPr>
          <w:p w14:paraId="2DC56A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行政办公区与库区</w:t>
            </w:r>
          </w:p>
        </w:tc>
      </w:tr>
      <w:tr w14:paraId="4E180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restart"/>
            <w:tcBorders>
              <w:left w:val="single" w:color="000000" w:sz="6" w:space="0"/>
              <w:bottom w:val="nil"/>
            </w:tcBorders>
            <w:vAlign w:val="center"/>
          </w:tcPr>
          <w:p w14:paraId="4879FB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档案馆</w:t>
            </w:r>
          </w:p>
        </w:tc>
        <w:tc>
          <w:tcPr>
            <w:tcW w:w="2461" w:type="dxa"/>
            <w:vAlign w:val="center"/>
          </w:tcPr>
          <w:p w14:paraId="194A85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负一层</w:t>
            </w:r>
          </w:p>
        </w:tc>
        <w:tc>
          <w:tcPr>
            <w:tcW w:w="3621" w:type="dxa"/>
            <w:tcBorders>
              <w:right w:val="single" w:color="000000" w:sz="6" w:space="0"/>
            </w:tcBorders>
            <w:vAlign w:val="center"/>
          </w:tcPr>
          <w:p w14:paraId="210E03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爱国主义教育基地展厅</w:t>
            </w:r>
          </w:p>
        </w:tc>
      </w:tr>
      <w:tr w14:paraId="0BF67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continue"/>
            <w:tcBorders>
              <w:top w:val="nil"/>
              <w:left w:val="single" w:color="000000" w:sz="6" w:space="0"/>
              <w:bottom w:val="nil"/>
            </w:tcBorders>
            <w:vAlign w:val="center"/>
          </w:tcPr>
          <w:p w14:paraId="63BB9F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1C8CA5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一层</w:t>
            </w:r>
          </w:p>
        </w:tc>
        <w:tc>
          <w:tcPr>
            <w:tcW w:w="3621" w:type="dxa"/>
            <w:tcBorders>
              <w:right w:val="single" w:color="000000" w:sz="6" w:space="0"/>
            </w:tcBorders>
            <w:vAlign w:val="center"/>
          </w:tcPr>
          <w:p w14:paraId="5A3AE6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服务大厅</w:t>
            </w:r>
          </w:p>
        </w:tc>
      </w:tr>
      <w:tr w14:paraId="5DE9E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114BE6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3FCFE0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二层</w:t>
            </w:r>
          </w:p>
        </w:tc>
        <w:tc>
          <w:tcPr>
            <w:tcW w:w="3621" w:type="dxa"/>
            <w:tcBorders>
              <w:right w:val="single" w:color="000000" w:sz="6" w:space="0"/>
            </w:tcBorders>
            <w:vAlign w:val="center"/>
          </w:tcPr>
          <w:p w14:paraId="06390A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电子办公区和库区</w:t>
            </w:r>
          </w:p>
        </w:tc>
      </w:tr>
      <w:tr w14:paraId="32202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259" w:type="dxa"/>
            <w:vMerge w:val="continue"/>
            <w:tcBorders>
              <w:top w:val="nil"/>
              <w:left w:val="single" w:color="000000" w:sz="6" w:space="0"/>
              <w:bottom w:val="nil"/>
            </w:tcBorders>
            <w:vAlign w:val="center"/>
          </w:tcPr>
          <w:p w14:paraId="4EBFE5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371D6B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五层</w:t>
            </w:r>
          </w:p>
        </w:tc>
        <w:tc>
          <w:tcPr>
            <w:tcW w:w="3621" w:type="dxa"/>
            <w:tcBorders>
              <w:right w:val="single" w:color="000000" w:sz="6" w:space="0"/>
            </w:tcBorders>
            <w:vAlign w:val="center"/>
          </w:tcPr>
          <w:p w14:paraId="2D8172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行政办公区和库区</w:t>
            </w:r>
          </w:p>
        </w:tc>
      </w:tr>
      <w:tr w14:paraId="04425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continue"/>
            <w:tcBorders>
              <w:top w:val="nil"/>
              <w:left w:val="single" w:color="000000" w:sz="6" w:space="0"/>
            </w:tcBorders>
            <w:vAlign w:val="center"/>
          </w:tcPr>
          <w:p w14:paraId="04B375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7CFF9D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六层</w:t>
            </w:r>
          </w:p>
        </w:tc>
        <w:tc>
          <w:tcPr>
            <w:tcW w:w="3621" w:type="dxa"/>
            <w:tcBorders>
              <w:right w:val="single" w:color="000000" w:sz="6" w:space="0"/>
            </w:tcBorders>
            <w:vAlign w:val="center"/>
          </w:tcPr>
          <w:p w14:paraId="63B374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报告厅和库区</w:t>
            </w:r>
          </w:p>
        </w:tc>
      </w:tr>
      <w:tr w14:paraId="3A7F1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2259" w:type="dxa"/>
            <w:tcBorders>
              <w:left w:val="single" w:color="000000" w:sz="6" w:space="0"/>
              <w:bottom w:val="single" w:color="000000" w:sz="6" w:space="0"/>
            </w:tcBorders>
            <w:vAlign w:val="center"/>
          </w:tcPr>
          <w:p w14:paraId="13ECEF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以上四馆共用部分</w:t>
            </w:r>
          </w:p>
        </w:tc>
        <w:tc>
          <w:tcPr>
            <w:tcW w:w="2461" w:type="dxa"/>
            <w:tcBorders>
              <w:bottom w:val="single" w:color="000000" w:sz="6" w:space="0"/>
            </w:tcBorders>
            <w:vAlign w:val="center"/>
          </w:tcPr>
          <w:p w14:paraId="72AF15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负二层</w:t>
            </w:r>
          </w:p>
        </w:tc>
        <w:tc>
          <w:tcPr>
            <w:tcW w:w="3621" w:type="dxa"/>
            <w:tcBorders>
              <w:bottom w:val="single" w:color="000000" w:sz="6" w:space="0"/>
              <w:right w:val="single" w:color="000000" w:sz="6" w:space="0"/>
            </w:tcBorders>
            <w:vAlign w:val="center"/>
          </w:tcPr>
          <w:p w14:paraId="346951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公共地下停车场、设备用房</w:t>
            </w:r>
          </w:p>
        </w:tc>
      </w:tr>
    </w:tbl>
    <w:p w14:paraId="3D6376CB">
      <w:pPr>
        <w:pStyle w:val="21"/>
        <w:keepNext w:val="0"/>
        <w:keepLines w:val="0"/>
        <w:pageBreakBefore w:val="0"/>
        <w:numPr>
          <w:ilvl w:val="1"/>
          <w:numId w:val="0"/>
        </w:numPr>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一、项目名称：张家口</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四馆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安全保卫服务项目</w:t>
      </w:r>
    </w:p>
    <w:p w14:paraId="1C834ABE">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二、采购内容：“四馆”门卫和日常巡逻、防盗等报警监控运行管理，车辆、道路及公共秩序维护，防汛、治安及其它突发事件处理等工作</w:t>
      </w:r>
    </w:p>
    <w:p w14:paraId="01881366">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三、邀请询比采购文件编号：</w:t>
      </w:r>
      <w:r>
        <w:rPr>
          <w:rFonts w:hint="eastAsia" w:asciiTheme="minorEastAsia" w:hAnsiTheme="minorEastAsia" w:eastAsiaTheme="minorEastAsia" w:cstheme="minorEastAsia"/>
          <w:sz w:val="24"/>
          <w:szCs w:val="24"/>
          <w:highlight w:val="none"/>
          <w:lang w:val="en-US" w:eastAsia="zh-CN"/>
        </w:rPr>
        <w:t>lhaqbwfw</w:t>
      </w:r>
      <w:r>
        <w:rPr>
          <w:rFonts w:hint="eastAsia" w:asciiTheme="minorEastAsia" w:hAnsiTheme="minorEastAsia" w:eastAsiaTheme="minorEastAsia" w:cstheme="minorEastAsia"/>
          <w:sz w:val="24"/>
          <w:szCs w:val="24"/>
          <w:highlight w:val="none"/>
        </w:rPr>
        <w:t>-01</w:t>
      </w:r>
    </w:p>
    <w:p w14:paraId="219E9618">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四、采购方式：询比采购</w:t>
      </w:r>
    </w:p>
    <w:p w14:paraId="73E03C58">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五、服务地点：采购人指定地点</w:t>
      </w:r>
    </w:p>
    <w:p w14:paraId="4996C3F3">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六、询比文件发售时间</w:t>
      </w:r>
    </w:p>
    <w:p w14:paraId="1F8A42F8">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FF00FF"/>
          <w:sz w:val="24"/>
          <w:szCs w:val="24"/>
          <w:highlight w:val="none"/>
        </w:rPr>
      </w:pPr>
      <w:r>
        <w:rPr>
          <w:rFonts w:hint="eastAsia" w:asciiTheme="minorEastAsia" w:hAnsiTheme="minorEastAsia" w:eastAsiaTheme="minorEastAsia" w:cstheme="minorEastAsia"/>
          <w:sz w:val="24"/>
          <w:szCs w:val="24"/>
        </w:rPr>
        <w:t>1．时间：</w:t>
      </w: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月1</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日至202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月1</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日（周六、周日除外）北京时间9：30-11：30，14：00-16：30。</w:t>
      </w:r>
    </w:p>
    <w:p w14:paraId="5E75A013">
      <w:pPr>
        <w:keepNext w:val="0"/>
        <w:keepLines w:val="0"/>
        <w:pageBreakBefore w:val="0"/>
        <w:kinsoku/>
        <w:wordWrap/>
        <w:overflowPunct/>
        <w:topLinePunct w:val="0"/>
        <w:bidi w:val="0"/>
        <w:spacing w:line="56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2.供应商资格要求：</w:t>
      </w:r>
    </w:p>
    <w:p w14:paraId="0BA8505A">
      <w:pPr>
        <w:pStyle w:val="4"/>
        <w:keepNext w:val="0"/>
        <w:keepLines w:val="0"/>
        <w:pageBreakBefore w:val="0"/>
        <w:kinsoku/>
        <w:wordWrap/>
        <w:overflowPunct/>
        <w:topLinePunct w:val="0"/>
        <w:bidi w:val="0"/>
        <w:snapToGrid w:val="0"/>
        <w:spacing w:line="560" w:lineRule="exact"/>
        <w:ind w:left="0" w:leftChars="0"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必须符合《中华人民共和国政府采购法》第二十二条的规定；（2）具有专业技术人员、设备、技术等方面相应的服务能力，具有良好的商业信誉；（3）有效的企业营业执照副本、税务登记证副本、组织机构代码证副本（三证合一或五证合一的企业只需提供具有统一社会信用代码独立法人的营业执照副本）；（4）银行开户许可证（或取消开户许可证的须提供基本存款账户银行备案资料）；（5）供应商参加本次政府采购活动前3年内无重大违法记录和政府采购严重违法失信行为的书面声明；（6）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7）单位负责人为同一人或者存在直接控股、管理关系的不同投标人，不得参加同一合同项下的政府采购活动；（8）本项目不接受联合体投标。</w:t>
      </w:r>
    </w:p>
    <w:p w14:paraId="77C2EE53">
      <w:pPr>
        <w:keepNext w:val="0"/>
        <w:keepLines w:val="0"/>
        <w:pageBreakBefore w:val="0"/>
        <w:kinsoku/>
        <w:wordWrap/>
        <w:overflowPunct/>
        <w:topLinePunct w:val="0"/>
        <w:bidi w:val="0"/>
        <w:spacing w:line="56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3.供应商报名要求：</w:t>
      </w:r>
    </w:p>
    <w:p w14:paraId="4B803A7E">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持有效合格的营业执照，税务登记证,组织机构代码证（三证合一或五证合一的企业只需提供具有统一社会信用代码独立法人的营业执照副本）；银行开户许可证；法定代表人报名须提供法定代表人身份证明书及本人身份证；非法定代表人报名须提供法定代表人身份证明书、授权委托书、本人身份证。</w:t>
      </w:r>
    </w:p>
    <w:p w14:paraId="453B8B66">
      <w:pPr>
        <w:keepNext w:val="0"/>
        <w:keepLines w:val="0"/>
        <w:pageBreakBefore w:val="0"/>
        <w:widowControl/>
        <w:kinsoku/>
        <w:wordWrap/>
        <w:overflowPunct/>
        <w:topLinePunct w:val="0"/>
        <w:bidi w:val="0"/>
        <w:spacing w:line="560" w:lineRule="exact"/>
        <w:ind w:firstLine="482"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注：1、以上资料需携带原件和加盖公章的A4纸复印件2套，到张家口</w:t>
      </w:r>
      <w:r>
        <w:rPr>
          <w:rFonts w:hint="eastAsia" w:asciiTheme="minorEastAsia" w:hAnsiTheme="minorEastAsia" w:eastAsiaTheme="minorEastAsia" w:cstheme="minorEastAsia"/>
          <w:b/>
          <w:sz w:val="24"/>
          <w:szCs w:val="24"/>
          <w:lang w:val="en-US" w:eastAsia="zh-CN"/>
        </w:rPr>
        <w:t>霖辉物业管理集团</w:t>
      </w:r>
      <w:r>
        <w:rPr>
          <w:rFonts w:hint="eastAsia" w:asciiTheme="minorEastAsia" w:hAnsiTheme="minorEastAsia" w:eastAsiaTheme="minorEastAsia" w:cstheme="minorEastAsia"/>
          <w:b/>
          <w:sz w:val="24"/>
          <w:szCs w:val="24"/>
        </w:rPr>
        <w:t>有限公司报名登记并获取询比采购文件；公司提供电子版文件；供应商提供的报名资料复印件必须真实、清晰且与携带原件一致并加盖单位公章，若因报名材料复印件的清晰度、真实性及与原件的一致性等问题导致报名不通过的由投标报名单位自行负责；</w:t>
      </w:r>
      <w:r>
        <w:rPr>
          <w:rFonts w:hint="eastAsia" w:asciiTheme="minorEastAsia" w:hAnsiTheme="minorEastAsia" w:eastAsiaTheme="minorEastAsia" w:cstheme="minorEastAsia"/>
          <w:b/>
          <w:bCs/>
          <w:sz w:val="24"/>
          <w:szCs w:val="24"/>
        </w:rPr>
        <w:t>本项目不接受联合体投标。</w:t>
      </w:r>
    </w:p>
    <w:p w14:paraId="5A8C4C80">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4.投标报名地点：张家口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r>
        <w:rPr>
          <w:rFonts w:hint="eastAsia" w:asciiTheme="minorEastAsia" w:hAnsiTheme="minorEastAsia" w:eastAsiaTheme="minorEastAsia" w:cstheme="minorEastAsia"/>
          <w:sz w:val="24"/>
          <w:szCs w:val="24"/>
        </w:rPr>
        <w:t>）</w:t>
      </w:r>
    </w:p>
    <w:p w14:paraId="636425BA">
      <w:pPr>
        <w:keepNext w:val="0"/>
        <w:keepLines w:val="0"/>
        <w:pageBreakBefore w:val="0"/>
        <w:numPr>
          <w:ilvl w:val="0"/>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highlight w:val="red"/>
        </w:rPr>
      </w:pPr>
      <w:r>
        <w:rPr>
          <w:rFonts w:hint="eastAsia" w:asciiTheme="minorEastAsia" w:hAnsiTheme="minorEastAsia" w:eastAsiaTheme="minorEastAsia" w:cstheme="minorEastAsia"/>
          <w:kern w:val="2"/>
          <w:sz w:val="24"/>
          <w:szCs w:val="24"/>
          <w:lang w:val="en-US" w:eastAsia="zh-CN" w:bidi="ar-SA"/>
        </w:rPr>
        <w:t>八、</w:t>
      </w:r>
      <w:r>
        <w:rPr>
          <w:rFonts w:hint="eastAsia" w:asciiTheme="minorEastAsia" w:hAnsiTheme="minorEastAsia" w:eastAsiaTheme="minorEastAsia" w:cstheme="minorEastAsia"/>
          <w:sz w:val="24"/>
          <w:szCs w:val="24"/>
        </w:rPr>
        <w:t>项目采购预算：</w:t>
      </w:r>
      <w:r>
        <w:rPr>
          <w:rFonts w:hint="eastAsia" w:asciiTheme="minorEastAsia" w:hAnsiTheme="minorEastAsia" w:eastAsiaTheme="minorEastAsia" w:cstheme="minorEastAsia"/>
          <w:b/>
          <w:sz w:val="24"/>
          <w:szCs w:val="24"/>
          <w:highlight w:val="none"/>
        </w:rPr>
        <w:t>人民币</w:t>
      </w:r>
      <w:r>
        <w:rPr>
          <w:rFonts w:hint="eastAsia" w:asciiTheme="minorEastAsia" w:hAnsiTheme="minorEastAsia" w:eastAsiaTheme="minorEastAsia" w:cstheme="minorEastAsia"/>
          <w:b/>
          <w:sz w:val="24"/>
          <w:szCs w:val="24"/>
          <w:highlight w:val="none"/>
          <w:lang w:val="en-US" w:eastAsia="zh-CN"/>
        </w:rPr>
        <w:t>1800000.00</w:t>
      </w:r>
      <w:r>
        <w:rPr>
          <w:rFonts w:hint="eastAsia" w:asciiTheme="minorEastAsia" w:hAnsiTheme="minorEastAsia" w:eastAsiaTheme="minorEastAsia" w:cstheme="minorEastAsia"/>
          <w:b/>
          <w:sz w:val="24"/>
          <w:szCs w:val="24"/>
          <w:highlight w:val="none"/>
        </w:rPr>
        <w:t>元</w:t>
      </w:r>
    </w:p>
    <w:p w14:paraId="2C273F51">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九、资格审查方式：资格后审</w:t>
      </w:r>
    </w:p>
    <w:p w14:paraId="23D4BCB2">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十、报价方式：总报价</w:t>
      </w:r>
    </w:p>
    <w:p w14:paraId="37355BA1">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十</w:t>
      </w:r>
      <w:r>
        <w:rPr>
          <w:rFonts w:hint="eastAsia" w:asciiTheme="minorEastAsia" w:hAnsiTheme="minorEastAsia" w:eastAsiaTheme="minorEastAsia" w:cstheme="minorEastAsia"/>
          <w:b/>
          <w:sz w:val="24"/>
          <w:szCs w:val="24"/>
        </w:rPr>
        <w:t>一</w:t>
      </w:r>
      <w:r>
        <w:rPr>
          <w:rFonts w:hint="eastAsia" w:asciiTheme="minorEastAsia" w:hAnsiTheme="minorEastAsia" w:eastAsiaTheme="minorEastAsia" w:cstheme="minorEastAsia"/>
          <w:sz w:val="24"/>
          <w:szCs w:val="24"/>
        </w:rPr>
        <w:t>、询比采购投标文件递交截止暨开标时间：</w:t>
      </w:r>
      <w:r>
        <w:rPr>
          <w:rFonts w:hint="eastAsia" w:asciiTheme="minorEastAsia" w:hAnsiTheme="minorEastAsia" w:eastAsiaTheme="minorEastAsia" w:cstheme="minorEastAsia"/>
          <w:b/>
          <w:sz w:val="24"/>
          <w:szCs w:val="24"/>
          <w:highlight w:val="none"/>
        </w:rPr>
        <w:t>202</w:t>
      </w:r>
      <w:r>
        <w:rPr>
          <w:rFonts w:hint="eastAsia" w:asciiTheme="minorEastAsia" w:hAnsiTheme="minorEastAsia" w:eastAsiaTheme="minorEastAsia" w:cstheme="minorEastAsia"/>
          <w:b/>
          <w:sz w:val="24"/>
          <w:szCs w:val="24"/>
          <w:highlight w:val="none"/>
          <w:lang w:val="en-US" w:eastAsia="zh-CN"/>
        </w:rPr>
        <w:t>5</w:t>
      </w:r>
      <w:r>
        <w:rPr>
          <w:rFonts w:hint="eastAsia" w:asciiTheme="minorEastAsia" w:hAnsiTheme="minorEastAsia" w:eastAsiaTheme="minorEastAsia" w:cstheme="minorEastAsia"/>
          <w:b/>
          <w:sz w:val="24"/>
          <w:szCs w:val="24"/>
          <w:highlight w:val="none"/>
        </w:rPr>
        <w:t>年</w:t>
      </w:r>
      <w:r>
        <w:rPr>
          <w:rFonts w:hint="eastAsia" w:asciiTheme="minorEastAsia" w:hAnsiTheme="minorEastAsia" w:eastAsiaTheme="minorEastAsia" w:cstheme="minorEastAsia"/>
          <w:b/>
          <w:sz w:val="24"/>
          <w:szCs w:val="24"/>
          <w:highlight w:val="none"/>
          <w:lang w:val="en-US" w:eastAsia="zh-CN"/>
        </w:rPr>
        <w:t>11</w:t>
      </w:r>
      <w:r>
        <w:rPr>
          <w:rFonts w:hint="eastAsia" w:asciiTheme="minorEastAsia" w:hAnsiTheme="minorEastAsia" w:eastAsiaTheme="minorEastAsia" w:cstheme="minorEastAsia"/>
          <w:b/>
          <w:sz w:val="24"/>
          <w:szCs w:val="24"/>
          <w:highlight w:val="none"/>
        </w:rPr>
        <w:t>月</w:t>
      </w:r>
      <w:r>
        <w:rPr>
          <w:rFonts w:hint="eastAsia" w:asciiTheme="minorEastAsia" w:hAnsiTheme="minorEastAsia" w:eastAsiaTheme="minorEastAsia" w:cstheme="minorEastAsia"/>
          <w:b/>
          <w:sz w:val="24"/>
          <w:szCs w:val="24"/>
          <w:highlight w:val="none"/>
          <w:lang w:val="en-US" w:eastAsia="zh-CN"/>
        </w:rPr>
        <w:t>28</w:t>
      </w:r>
      <w:r>
        <w:rPr>
          <w:rFonts w:hint="eastAsia" w:asciiTheme="minorEastAsia" w:hAnsiTheme="minorEastAsia" w:eastAsiaTheme="minorEastAsia" w:cstheme="minorEastAsia"/>
          <w:b/>
          <w:sz w:val="24"/>
          <w:szCs w:val="24"/>
          <w:highlight w:val="none"/>
        </w:rPr>
        <w:t>日北京时间</w:t>
      </w:r>
      <w:r>
        <w:rPr>
          <w:rFonts w:hint="eastAsia" w:asciiTheme="minorEastAsia" w:hAnsiTheme="minorEastAsia" w:eastAsiaTheme="minorEastAsia" w:cstheme="minorEastAsia"/>
          <w:b/>
          <w:sz w:val="24"/>
          <w:szCs w:val="24"/>
          <w:highlight w:val="none"/>
          <w:lang w:val="en-US" w:eastAsia="zh-CN"/>
        </w:rPr>
        <w:t>15：00</w:t>
      </w:r>
    </w:p>
    <w:p w14:paraId="3DE60538">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十二、开标地点：张家口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r>
        <w:rPr>
          <w:rFonts w:hint="eastAsia" w:asciiTheme="minorEastAsia" w:hAnsiTheme="minorEastAsia" w:eastAsiaTheme="minorEastAsia" w:cstheme="minorEastAsia"/>
          <w:sz w:val="24"/>
          <w:szCs w:val="24"/>
        </w:rPr>
        <w:t>）</w:t>
      </w:r>
    </w:p>
    <w:p w14:paraId="0660017D">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十三、评标地点：张家口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r>
        <w:rPr>
          <w:rFonts w:hint="eastAsia" w:asciiTheme="minorEastAsia" w:hAnsiTheme="minorEastAsia" w:eastAsiaTheme="minorEastAsia" w:cstheme="minorEastAsia"/>
          <w:sz w:val="24"/>
          <w:szCs w:val="24"/>
        </w:rPr>
        <w:t>）</w:t>
      </w:r>
    </w:p>
    <w:p w14:paraId="53861F64">
      <w:pPr>
        <w:keepNext w:val="0"/>
        <w:keepLines w:val="0"/>
        <w:pageBreakBefore w:val="0"/>
        <w:kinsoku/>
        <w:wordWrap/>
        <w:overflowPunct/>
        <w:topLinePunct w:val="0"/>
        <w:bidi w:val="0"/>
        <w:spacing w:line="560" w:lineRule="exact"/>
        <w:ind w:firstLine="472"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逾期收到或未按邀请询比采购文件要求予以标记和密封的询比采购投标文件恕不接受。</w:t>
      </w:r>
    </w:p>
    <w:p w14:paraId="0DEFA9F2">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w:t>
      </w:r>
    </w:p>
    <w:p w14:paraId="2438C402">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p>
    <w:p w14:paraId="30EFFE5A">
      <w:pPr>
        <w:keepNext w:val="0"/>
        <w:keepLines w:val="0"/>
        <w:pageBreakBefore w:val="0"/>
        <w:widowControl/>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lang w:val="en-US" w:eastAsia="zh-CN"/>
        </w:rPr>
        <w:t>0313-</w:t>
      </w:r>
      <w:r>
        <w:rPr>
          <w:rFonts w:hint="eastAsia" w:asciiTheme="minorEastAsia" w:hAnsiTheme="minorEastAsia" w:eastAsiaTheme="minorEastAsia" w:cstheme="minorEastAsia"/>
          <w:sz w:val="24"/>
          <w:szCs w:val="24"/>
        </w:rPr>
        <w:t>58</w:t>
      </w:r>
      <w:r>
        <w:rPr>
          <w:rFonts w:hint="eastAsia" w:asciiTheme="minorEastAsia" w:hAnsiTheme="minorEastAsia" w:eastAsiaTheme="minorEastAsia" w:cstheme="minorEastAsia"/>
          <w:sz w:val="24"/>
          <w:szCs w:val="24"/>
          <w:lang w:val="en-US" w:eastAsia="zh-CN"/>
        </w:rPr>
        <w:t>87863</w:t>
      </w:r>
    </w:p>
    <w:p w14:paraId="51EA2D42">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val="en-US" w:eastAsia="zh-CN"/>
        </w:rPr>
        <w:t>李晓杰</w:t>
      </w:r>
    </w:p>
    <w:p w14:paraId="05987071">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br w:type="page"/>
      </w:r>
    </w:p>
    <w:p w14:paraId="5481F5C1">
      <w:pPr>
        <w:pStyle w:val="2"/>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000000"/>
          <w:sz w:val="36"/>
          <w:szCs w:val="36"/>
        </w:rPr>
      </w:pPr>
      <w:r>
        <w:rPr>
          <w:rFonts w:hint="eastAsia" w:asciiTheme="minorEastAsia" w:hAnsiTheme="minorEastAsia" w:eastAsiaTheme="minorEastAsia" w:cstheme="minorEastAsia"/>
          <w:b w:val="0"/>
          <w:bCs w:val="0"/>
          <w:color w:val="000000"/>
          <w:sz w:val="36"/>
          <w:szCs w:val="36"/>
        </w:rPr>
        <w:t>第二部分</w:t>
      </w:r>
      <w:r>
        <w:rPr>
          <w:rFonts w:hint="eastAsia" w:asciiTheme="minorEastAsia" w:hAnsiTheme="minorEastAsia" w:eastAsiaTheme="minorEastAsia" w:cstheme="minorEastAsia"/>
          <w:b w:val="0"/>
          <w:bCs w:val="0"/>
          <w:color w:val="000000"/>
          <w:sz w:val="36"/>
          <w:szCs w:val="36"/>
          <w:lang w:val="en-US" w:eastAsia="zh-CN"/>
        </w:rPr>
        <w:t xml:space="preserve">  </w:t>
      </w:r>
      <w:r>
        <w:rPr>
          <w:rFonts w:hint="eastAsia" w:asciiTheme="minorEastAsia" w:hAnsiTheme="minorEastAsia" w:eastAsiaTheme="minorEastAsia" w:cstheme="minorEastAsia"/>
          <w:b w:val="0"/>
          <w:bCs w:val="0"/>
          <w:color w:val="000000"/>
          <w:sz w:val="36"/>
          <w:szCs w:val="36"/>
        </w:rPr>
        <w:t>招标项目内容及要求</w:t>
      </w:r>
    </w:p>
    <w:p w14:paraId="435DBAFB">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一、服务内容</w:t>
      </w:r>
    </w:p>
    <w:p w14:paraId="7329A4FF">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安全保卫服务：“四馆”门卫和日常巡逻、防盗等报警监控运行管理，车辆、道路及公共秩序维护，防汛、治安及其它突发事件处理等。此项目报价中包含由乙方承担的对讲机、安保服装、照明灯、应急包等材料费。</w:t>
      </w:r>
    </w:p>
    <w:p w14:paraId="04084173">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二、项目要求</w:t>
      </w:r>
    </w:p>
    <w:p w14:paraId="1C7D7313">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1、基本要求</w:t>
      </w:r>
    </w:p>
    <w:p w14:paraId="200D39D2">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服务提供方需负责“四馆”的服务工作，具体内容为安全保卫服务。所有工作人员必须遵守馆内各项规定，并且服从馆内管理。</w:t>
      </w:r>
    </w:p>
    <w:p w14:paraId="0C711F44">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2、服务保障要求</w:t>
      </w:r>
    </w:p>
    <w:p w14:paraId="70948CC0">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（1）制度建设</w:t>
      </w:r>
    </w:p>
    <w:p w14:paraId="19B8AC40">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应在提供服务项目的同时，建立与服务内容相适应的管理体系并形成文件，具体包括但不限于以下制度:</w:t>
      </w:r>
    </w:p>
    <w:p w14:paraId="5C9B5334">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——建立传达、车辆及公共秩序管理等安全生产制度和安全预防及突发事件应急处置预案，确保正常工作秩序和办公区域安全；</w:t>
      </w:r>
    </w:p>
    <w:p w14:paraId="48BCD84C">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——建立保密安全管理制度，明确重点要害岗位保密职责及对相关人员的保密要求，从制度层面防范失泄密风险。</w:t>
      </w:r>
    </w:p>
    <w:p w14:paraId="77DC714D">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（2）人员要求：</w:t>
      </w:r>
    </w:p>
    <w:p w14:paraId="7CF4D984">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服务人员应根据岗位需要接受保密教育并签订保密协议；应接受岗位培训，经培训合格后方可上岗。</w:t>
      </w:r>
    </w:p>
    <w:p w14:paraId="11CA1C13">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安保人员40人，年龄45岁以下（包含45岁），无违法犯罪记录，品行端正、无不良嗜好。</w:t>
      </w:r>
    </w:p>
    <w:p w14:paraId="77567A73">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三、服务工作及相关要求</w:t>
      </w:r>
    </w:p>
    <w:p w14:paraId="258ED992">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安全保卫服务</w:t>
      </w:r>
    </w:p>
    <w:p w14:paraId="2D155DE2">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包含“四馆”来人来访登记、检查、通报等工作，治安防范、财产安全、公共秩序管理及突发事件处置等，设备设施维护、道路交通车辆管理，以及重大节假日、特殊或重要时期、重大政治活动期间的安全保卫工作等。</w:t>
      </w:r>
    </w:p>
    <w:p w14:paraId="212B58D8">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1、门卫管理</w:t>
      </w:r>
    </w:p>
    <w:p w14:paraId="211AB649">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——重要出入口24小时值班；</w:t>
      </w:r>
    </w:p>
    <w:p w14:paraId="4BE803B3">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——对外来人员逐一验证、登记及必要安检，若发现疑点，应及时、认真询问，防止闲杂人员进入；</w:t>
      </w:r>
    </w:p>
    <w:p w14:paraId="543BEF42">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——配合机关信访、保卫部门积极疏导上访人员；</w:t>
      </w:r>
    </w:p>
    <w:p w14:paraId="2F61C5E5">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——对外来车辆逐一核对、登记，防止无准入许可的车辆进入；</w:t>
      </w:r>
    </w:p>
    <w:p w14:paraId="0D7739D2">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——有效疏导进出车辆，保持出入畅通；</w:t>
      </w:r>
    </w:p>
    <w:p w14:paraId="687089AA">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——对进出物品实施分类记录，对大宗物品应当审验，严防危险物品进入。</w:t>
      </w:r>
    </w:p>
    <w:p w14:paraId="16C4436A">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2、值班巡查</w:t>
      </w:r>
    </w:p>
    <w:p w14:paraId="7A5FB159">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——落实24小时值班巡查制度，保证值班电话24小时畅通；</w:t>
      </w:r>
    </w:p>
    <w:p w14:paraId="5B4FB30D">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——根据机关保卫部门要求，合理安排巡查路线，确保重点部位全覆盖；</w:t>
      </w:r>
    </w:p>
    <w:p w14:paraId="77AB88C5">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——发现违规行为应及时制止，发现异常情况应立即通知相关部门并在现场采取必要措施；</w:t>
      </w:r>
    </w:p>
    <w:p w14:paraId="472A9FD6">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——收到监控中心指令后，巡查人员应及时到达指定地点并迅速采取相应措施；</w:t>
      </w:r>
    </w:p>
    <w:p w14:paraId="430A32AF">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——发现消火栓、安全警示标志等公共安全设备设施损坏、缺失或不能正常使用等情况，应及时报告、记录并及时安排维保人员进行处理。</w:t>
      </w:r>
    </w:p>
    <w:p w14:paraId="3AFA638C">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3、监控值守</w:t>
      </w:r>
    </w:p>
    <w:p w14:paraId="11B77AAD">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——监控设施应24小时正常运行，双人值守并合理安排值守时间，如有故障应及时排除，保证对安全出入口、内部重点区域的安全监控，并保持完整记录，监控资料按规定期限保留；</w:t>
      </w:r>
    </w:p>
    <w:p w14:paraId="0404698C">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——在夜晚采取补光等措施，确保视频图像清晰，确保安全出入口和内部重点部位的视频监控无死角、无盲区；</w:t>
      </w:r>
    </w:p>
    <w:p w14:paraId="021EB8D0">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——监控中心收到险情、火情等报警信号及其他异常情况的信号后，应及时报警并安排其他安保人员携带处置装备及时赶到报警点进行现场处理；</w:t>
      </w:r>
    </w:p>
    <w:p w14:paraId="4CD9A5E2">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——保持治安电话畅通，接听及时。</w:t>
      </w:r>
    </w:p>
    <w:p w14:paraId="0B3DA1B3">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4、车辆停放</w:t>
      </w:r>
    </w:p>
    <w:p w14:paraId="5D574632">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——院内设置行车指示、限速等标识和路口反光镜，规定行驶路线，指定停放区域，保证车辆有序通行、便于停放；</w:t>
      </w:r>
    </w:p>
    <w:p w14:paraId="5C6420C9">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——车库专人管理，定时清洁，无易燃易爆等危险品存放，监控、照明、抽水、消防器械配置齐全、正常运行；</w:t>
      </w:r>
    </w:p>
    <w:p w14:paraId="7B41F3DE">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——非机动车定点有序停放。</w:t>
      </w:r>
    </w:p>
    <w:p w14:paraId="351FAC2B">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5、消防管理</w:t>
      </w:r>
    </w:p>
    <w:p w14:paraId="107D9DE9">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——建立消防安全责任制；</w:t>
      </w:r>
    </w:p>
    <w:p w14:paraId="390AF397">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——保持所有消防通道畅通，在明显位置设置疏散示意图；</w:t>
      </w:r>
    </w:p>
    <w:p w14:paraId="378F6B54">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——消防设施有明显标志，定期巡检和维护消防设备设施，保持完好、完整和正常使用，并保留文字记录，按时上报；</w:t>
      </w:r>
    </w:p>
    <w:p w14:paraId="13E66D57">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——对易燃易爆品设专区专人管理；</w:t>
      </w:r>
    </w:p>
    <w:p w14:paraId="1ABA2A24">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——每年至少组织1次消防演练或培训。</w:t>
      </w:r>
    </w:p>
    <w:p w14:paraId="5E417C7C">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消防设备维保质量应达到消防要求，并保证系统开通率及完好率。应定期检查消防设备，重大节假日前巡检1次，零修合格率应达到100%。</w:t>
      </w:r>
    </w:p>
    <w:p w14:paraId="15A6FD22">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四、应急响应要求</w:t>
      </w:r>
    </w:p>
    <w:p w14:paraId="2B4D5B80">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安全保卫服务</w:t>
      </w:r>
    </w:p>
    <w:p w14:paraId="7BFB4D18">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安保服务应急，如发生地质灾害、灾害性天气或突发公共事件时，应按照应急处置预案进行处理，并全力配合有关部门，保护人员人身安全，尽量减少财产损失。</w:t>
      </w:r>
    </w:p>
    <w:p w14:paraId="5576EFDB">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五、其他要求</w:t>
      </w:r>
    </w:p>
    <w:p w14:paraId="3F5A7076">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人员在工作期间，应当严格遵守相关安全管理制度，采取有效的安全防护措施，消除事故隐患，在服务期间，所发生的一切安全事故和事故造成的损失，由乙方承担，与甲方无关。乙方应对其在楼内的工作人员进行安全教育，并对他们的安全负责，乙方对发生在服务区域内的任何人身伤亡事件或任何财产损坏、损失，负完全法律责任，并赔偿甲方遭受的一切损失；乙方与聘用人员发生劳动（劳务）纠纷，由乙方负责调解和处理，甲方不承担责任。在安全事故、劳动纠纷发生的当月甲方有权停止支付乙方服务费，直至事故、纠纷处理或损失赔偿完毕后，恢复正常支付程序。</w:t>
      </w:r>
    </w:p>
    <w:p w14:paraId="765E37B8">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六、绩效评价及标准</w:t>
      </w:r>
    </w:p>
    <w:p w14:paraId="6FC81F0E">
      <w:pPr>
        <w:pStyle w:val="9"/>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highlight w:val="none"/>
        </w:rPr>
        <w:t>绩效评价及标准</w:t>
      </w:r>
    </w:p>
    <w:p w14:paraId="1A454EE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考核单位：张家口霖辉物业管理集团有限公司          考核时间：</w:t>
      </w:r>
    </w:p>
    <w:tbl>
      <w:tblPr>
        <w:tblStyle w:val="14"/>
        <w:tblW w:w="4997" w:type="pct"/>
        <w:tblInd w:w="0" w:type="dxa"/>
        <w:tblLayout w:type="autofit"/>
        <w:tblCellMar>
          <w:top w:w="0" w:type="dxa"/>
          <w:left w:w="108" w:type="dxa"/>
          <w:bottom w:w="0" w:type="dxa"/>
          <w:right w:w="108" w:type="dxa"/>
        </w:tblCellMar>
      </w:tblPr>
      <w:tblGrid>
        <w:gridCol w:w="493"/>
        <w:gridCol w:w="708"/>
        <w:gridCol w:w="1854"/>
        <w:gridCol w:w="3953"/>
        <w:gridCol w:w="601"/>
        <w:gridCol w:w="972"/>
        <w:gridCol w:w="587"/>
      </w:tblGrid>
      <w:tr w14:paraId="58C10EDC">
        <w:tblPrEx>
          <w:tblCellMar>
            <w:top w:w="0" w:type="dxa"/>
            <w:left w:w="108" w:type="dxa"/>
            <w:bottom w:w="0" w:type="dxa"/>
            <w:right w:w="108" w:type="dxa"/>
          </w:tblCellMar>
        </w:tblPrEx>
        <w:trPr>
          <w:trHeight w:val="379" w:hRule="atLeast"/>
        </w:trPr>
        <w:tc>
          <w:tcPr>
            <w:tcW w:w="269" w:type="pct"/>
            <w:tcBorders>
              <w:top w:val="single" w:color="auto" w:sz="8" w:space="0"/>
              <w:left w:val="single" w:color="auto" w:sz="8" w:space="0"/>
              <w:bottom w:val="single" w:color="auto" w:sz="8" w:space="0"/>
              <w:right w:val="single" w:color="auto" w:sz="8" w:space="0"/>
            </w:tcBorders>
            <w:shd w:val="clear" w:color="000000" w:fill="FFFFFF" w:themeFill="background1"/>
            <w:noWrap w:val="0"/>
            <w:vAlign w:val="center"/>
          </w:tcPr>
          <w:p w14:paraId="68F5C0C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序号</w:t>
            </w:r>
          </w:p>
        </w:tc>
        <w:tc>
          <w:tcPr>
            <w:tcW w:w="386" w:type="pct"/>
            <w:tcBorders>
              <w:top w:val="single" w:color="auto" w:sz="8" w:space="0"/>
              <w:left w:val="single" w:color="auto" w:sz="8" w:space="0"/>
              <w:bottom w:val="single" w:color="auto" w:sz="8" w:space="0"/>
              <w:right w:val="single" w:color="auto" w:sz="8" w:space="0"/>
            </w:tcBorders>
            <w:shd w:val="clear" w:color="000000" w:fill="FFFFFF" w:themeFill="background1"/>
            <w:noWrap w:val="0"/>
            <w:vAlign w:val="center"/>
          </w:tcPr>
          <w:p w14:paraId="65EB1F6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评价内容</w:t>
            </w:r>
          </w:p>
        </w:tc>
        <w:tc>
          <w:tcPr>
            <w:tcW w:w="3166" w:type="pct"/>
            <w:gridSpan w:val="2"/>
            <w:tcBorders>
              <w:top w:val="single" w:color="auto" w:sz="8" w:space="0"/>
              <w:left w:val="single" w:color="auto" w:sz="8" w:space="0"/>
              <w:bottom w:val="single" w:color="auto" w:sz="8" w:space="0"/>
              <w:right w:val="single" w:color="auto" w:sz="8" w:space="0"/>
            </w:tcBorders>
            <w:shd w:val="clear" w:color="000000" w:fill="FFFFFF" w:themeFill="background1"/>
            <w:noWrap w:val="0"/>
            <w:vAlign w:val="center"/>
          </w:tcPr>
          <w:p w14:paraId="4C2EEF5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绩效评价及标准</w:t>
            </w:r>
          </w:p>
        </w:tc>
        <w:tc>
          <w:tcPr>
            <w:tcW w:w="328" w:type="pct"/>
            <w:tcBorders>
              <w:top w:val="single" w:color="auto" w:sz="8" w:space="0"/>
              <w:left w:val="single" w:color="auto" w:sz="8" w:space="0"/>
              <w:bottom w:val="single" w:color="auto" w:sz="8" w:space="0"/>
              <w:right w:val="single" w:color="auto" w:sz="8" w:space="0"/>
            </w:tcBorders>
            <w:shd w:val="clear" w:color="000000" w:fill="FFFFFF" w:themeFill="background1"/>
            <w:noWrap w:val="0"/>
            <w:vAlign w:val="center"/>
          </w:tcPr>
          <w:p w14:paraId="6EA028B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分值</w:t>
            </w:r>
          </w:p>
        </w:tc>
        <w:tc>
          <w:tcPr>
            <w:tcW w:w="530" w:type="pct"/>
            <w:tcBorders>
              <w:top w:val="single" w:color="auto" w:sz="8" w:space="0"/>
              <w:left w:val="single" w:color="auto" w:sz="8" w:space="0"/>
              <w:bottom w:val="single" w:color="auto" w:sz="8" w:space="0"/>
              <w:right w:val="single" w:color="auto" w:sz="8" w:space="0"/>
            </w:tcBorders>
            <w:shd w:val="clear" w:color="000000" w:fill="FFFFFF" w:themeFill="background1"/>
            <w:noWrap w:val="0"/>
            <w:vAlign w:val="center"/>
          </w:tcPr>
          <w:p w14:paraId="6599AC4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评分</w:t>
            </w:r>
          </w:p>
          <w:p w14:paraId="0C9F167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细则</w:t>
            </w:r>
          </w:p>
        </w:tc>
        <w:tc>
          <w:tcPr>
            <w:tcW w:w="318" w:type="pct"/>
            <w:tcBorders>
              <w:top w:val="single" w:color="auto" w:sz="8" w:space="0"/>
              <w:left w:val="single" w:color="auto" w:sz="8" w:space="0"/>
              <w:bottom w:val="single" w:color="auto" w:sz="8" w:space="0"/>
              <w:right w:val="single" w:color="auto" w:sz="8" w:space="0"/>
            </w:tcBorders>
            <w:shd w:val="clear" w:color="000000" w:fill="FFFFFF" w:themeFill="background1"/>
            <w:noWrap w:val="0"/>
            <w:vAlign w:val="center"/>
          </w:tcPr>
          <w:p w14:paraId="2859987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扣分</w:t>
            </w:r>
          </w:p>
        </w:tc>
      </w:tr>
      <w:tr w14:paraId="180D496A">
        <w:tblPrEx>
          <w:tblCellMar>
            <w:top w:w="0" w:type="dxa"/>
            <w:left w:w="108" w:type="dxa"/>
            <w:bottom w:w="0" w:type="dxa"/>
            <w:right w:w="108" w:type="dxa"/>
          </w:tblCellMar>
        </w:tblPrEx>
        <w:trPr>
          <w:trHeight w:val="600" w:hRule="atLeast"/>
        </w:trPr>
        <w:tc>
          <w:tcPr>
            <w:tcW w:w="269" w:type="pct"/>
            <w:vMerge w:val="restart"/>
            <w:tcBorders>
              <w:top w:val="single" w:color="auto" w:sz="8" w:space="0"/>
              <w:left w:val="single" w:color="auto" w:sz="8" w:space="0"/>
              <w:bottom w:val="single" w:color="auto" w:sz="8" w:space="0"/>
              <w:right w:val="single" w:color="auto" w:sz="8" w:space="0"/>
            </w:tcBorders>
            <w:noWrap w:val="0"/>
            <w:vAlign w:val="center"/>
          </w:tcPr>
          <w:p w14:paraId="724EF74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w:t>
            </w:r>
          </w:p>
        </w:tc>
        <w:tc>
          <w:tcPr>
            <w:tcW w:w="386" w:type="pct"/>
            <w:vMerge w:val="restart"/>
            <w:tcBorders>
              <w:top w:val="single" w:color="auto" w:sz="8" w:space="0"/>
              <w:left w:val="single" w:color="auto" w:sz="8" w:space="0"/>
              <w:bottom w:val="single" w:color="auto" w:sz="8" w:space="0"/>
              <w:right w:val="single" w:color="auto" w:sz="8" w:space="0"/>
            </w:tcBorders>
            <w:noWrap w:val="0"/>
            <w:vAlign w:val="center"/>
          </w:tcPr>
          <w:p w14:paraId="02EF578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人员要求</w:t>
            </w: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3881E97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男性，年龄45岁以下（包含45岁），无违法犯罪记录，品行端正、无不良嗜好</w:t>
            </w:r>
            <w:r>
              <w:rPr>
                <w:rFonts w:hint="eastAsia" w:asciiTheme="minorEastAsia" w:hAnsiTheme="minorEastAsia" w:eastAsiaTheme="minorEastAsia" w:cstheme="minorEastAsia"/>
                <w:kern w:val="0"/>
                <w:sz w:val="24"/>
                <w:szCs w:val="24"/>
                <w:lang w:eastAsia="zh-CN"/>
              </w:rPr>
              <w:t>。</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3134C3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530" w:type="pct"/>
            <w:vMerge w:val="restart"/>
            <w:tcBorders>
              <w:top w:val="single" w:color="auto" w:sz="8" w:space="0"/>
              <w:left w:val="single" w:color="auto" w:sz="8" w:space="0"/>
              <w:bottom w:val="single" w:color="auto" w:sz="8" w:space="0"/>
              <w:right w:val="single" w:color="auto" w:sz="8" w:space="0"/>
            </w:tcBorders>
            <w:noWrap w:val="0"/>
            <w:vAlign w:val="center"/>
          </w:tcPr>
          <w:p w14:paraId="39396EF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318" w:type="pct"/>
            <w:tcBorders>
              <w:top w:val="single" w:color="auto" w:sz="8" w:space="0"/>
              <w:left w:val="single" w:color="auto" w:sz="8" w:space="0"/>
              <w:bottom w:val="single" w:color="auto" w:sz="8" w:space="0"/>
              <w:right w:val="single" w:color="auto" w:sz="8" w:space="0"/>
            </w:tcBorders>
            <w:noWrap w:val="0"/>
            <w:vAlign w:val="center"/>
          </w:tcPr>
          <w:p w14:paraId="48B3DA3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4B0F758">
        <w:tblPrEx>
          <w:tblCellMar>
            <w:top w:w="0" w:type="dxa"/>
            <w:left w:w="108" w:type="dxa"/>
            <w:bottom w:w="0" w:type="dxa"/>
            <w:right w:w="108" w:type="dxa"/>
          </w:tblCellMar>
        </w:tblPrEx>
        <w:trPr>
          <w:trHeight w:val="600"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74BAC7E3">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sz w:val="24"/>
                <w:szCs w:val="24"/>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2BAD548D">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sz w:val="24"/>
                <w:szCs w:val="24"/>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57974017">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服务</w:t>
            </w:r>
            <w:r>
              <w:rPr>
                <w:rFonts w:hint="eastAsia" w:asciiTheme="minorEastAsia" w:hAnsiTheme="minorEastAsia" w:eastAsiaTheme="minorEastAsia" w:cstheme="minorEastAsia"/>
                <w:sz w:val="24"/>
                <w:szCs w:val="24"/>
                <w:lang w:eastAsia="zh-CN"/>
              </w:rPr>
              <w:t>人员</w:t>
            </w:r>
            <w:r>
              <w:rPr>
                <w:rFonts w:hint="eastAsia" w:asciiTheme="minorEastAsia" w:hAnsiTheme="minorEastAsia" w:eastAsiaTheme="minorEastAsia" w:cstheme="minorEastAsia"/>
                <w:sz w:val="24"/>
                <w:szCs w:val="24"/>
              </w:rPr>
              <w:t>工作时要着统</w:t>
            </w:r>
            <w:r>
              <w:rPr>
                <w:rFonts w:hint="eastAsia" w:asciiTheme="minorEastAsia" w:hAnsiTheme="minorEastAsia" w:eastAsiaTheme="minorEastAsia" w:cstheme="minorEastAsia"/>
                <w:sz w:val="24"/>
                <w:szCs w:val="24"/>
                <w:lang w:val="en-US" w:eastAsia="zh-CN"/>
              </w:rPr>
              <w:t>一保安制服。</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1B91EE8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7AD3A47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6FFC231A">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rPr>
            </w:pPr>
          </w:p>
        </w:tc>
      </w:tr>
      <w:tr w14:paraId="3542A650">
        <w:tblPrEx>
          <w:tblCellMar>
            <w:top w:w="0" w:type="dxa"/>
            <w:left w:w="108" w:type="dxa"/>
            <w:bottom w:w="0" w:type="dxa"/>
            <w:right w:w="108" w:type="dxa"/>
          </w:tblCellMar>
        </w:tblPrEx>
        <w:trPr>
          <w:trHeight w:val="153"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0C0F5B6D">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18EBC03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0D2FF28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3.保安制服不得与便服混穿，不同季节的保安制服实行统一换装。</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5F1948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3ACC613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407B749D">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rPr>
            </w:pPr>
          </w:p>
        </w:tc>
      </w:tr>
      <w:tr w14:paraId="090839EC">
        <w:tblPrEx>
          <w:tblCellMar>
            <w:top w:w="0" w:type="dxa"/>
            <w:left w:w="108" w:type="dxa"/>
            <w:bottom w:w="0" w:type="dxa"/>
            <w:right w:w="108" w:type="dxa"/>
          </w:tblCellMar>
        </w:tblPrEx>
        <w:trPr>
          <w:trHeight w:val="153"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2213D503">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sz w:val="24"/>
                <w:szCs w:val="24"/>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3CB5C71A">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sz w:val="24"/>
                <w:szCs w:val="24"/>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4D532B8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4.着保安制服应干净整洁，不准披衣、敞怀、挽袖、卷裤腿、歪戴帽子、穿拖鞋或赤足。</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193182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6A89274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5BE7356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0879680">
        <w:tblPrEx>
          <w:tblCellMar>
            <w:top w:w="0" w:type="dxa"/>
            <w:left w:w="108" w:type="dxa"/>
            <w:bottom w:w="0" w:type="dxa"/>
            <w:right w:w="108" w:type="dxa"/>
          </w:tblCellMar>
        </w:tblPrEx>
        <w:trPr>
          <w:trHeight w:val="153"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21F5725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02A5C0E5">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63198005">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5.值勤、站岗时要仪表端庄，站岗一律以立正或跨立姿势站立，注意力集中。</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68FA563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7DB0A71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386BEC6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F16C0F9">
        <w:tblPrEx>
          <w:tblCellMar>
            <w:top w:w="0" w:type="dxa"/>
            <w:left w:w="108" w:type="dxa"/>
            <w:bottom w:w="0" w:type="dxa"/>
            <w:right w:w="108" w:type="dxa"/>
          </w:tblCellMar>
        </w:tblPrEx>
        <w:trPr>
          <w:trHeight w:val="204"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79DA37C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50F608AD">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370BBD4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6.不准留长发（帽檐下发长不超过1.5CM)、大鬓角、胡须和指甲。</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0997F64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17972B8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1347765D">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3CC7CD0">
        <w:tblPrEx>
          <w:tblCellMar>
            <w:top w:w="0" w:type="dxa"/>
            <w:left w:w="108" w:type="dxa"/>
            <w:bottom w:w="0" w:type="dxa"/>
            <w:right w:w="108" w:type="dxa"/>
          </w:tblCellMar>
        </w:tblPrEx>
        <w:trPr>
          <w:trHeight w:val="307"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0BE2CE7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sz w:val="24"/>
                <w:szCs w:val="24"/>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14A526DD">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sz w:val="24"/>
                <w:szCs w:val="24"/>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0743CC53">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7.精神饱满、姿态端庄、动作规范、举止文明。</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730AF5E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22A270C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09021642">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AF39803">
        <w:tblPrEx>
          <w:tblCellMar>
            <w:top w:w="0" w:type="dxa"/>
            <w:left w:w="108" w:type="dxa"/>
            <w:bottom w:w="0" w:type="dxa"/>
            <w:right w:w="108" w:type="dxa"/>
          </w:tblCellMar>
        </w:tblPrEx>
        <w:trPr>
          <w:trHeight w:val="307"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77DD8EF5">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sz w:val="24"/>
                <w:szCs w:val="24"/>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24AF3278">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sz w:val="24"/>
                <w:szCs w:val="24"/>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7838E8B2">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8.工作期间不准袖手、背手、或将手插入衣袋。不准搭肩、挽臂、边走边吸烟、吃东西、扇扇子、嬉笑打闹。不准随地吐痰、乱扔废物。</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64BAF45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5B4FA86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3F790B15">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0235C5D">
        <w:tblPrEx>
          <w:tblCellMar>
            <w:top w:w="0" w:type="dxa"/>
            <w:left w:w="108" w:type="dxa"/>
            <w:bottom w:w="0" w:type="dxa"/>
            <w:right w:w="108" w:type="dxa"/>
          </w:tblCellMar>
        </w:tblPrEx>
        <w:trPr>
          <w:trHeight w:val="204"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36DF53C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5CBB9B5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7BDB0904">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9.工作期间严禁饮酒。</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0458034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0404E9B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0001D485">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664D560">
        <w:tblPrEx>
          <w:tblCellMar>
            <w:top w:w="0" w:type="dxa"/>
            <w:left w:w="108" w:type="dxa"/>
            <w:bottom w:w="0" w:type="dxa"/>
            <w:right w:w="108" w:type="dxa"/>
          </w:tblCellMar>
        </w:tblPrEx>
        <w:trPr>
          <w:trHeight w:val="151" w:hRule="atLeast"/>
        </w:trPr>
        <w:tc>
          <w:tcPr>
            <w:tcW w:w="269" w:type="pct"/>
            <w:vMerge w:val="restart"/>
            <w:tcBorders>
              <w:top w:val="single" w:color="auto" w:sz="8" w:space="0"/>
              <w:left w:val="single" w:color="auto" w:sz="8" w:space="0"/>
              <w:bottom w:val="single" w:color="auto" w:sz="8" w:space="0"/>
              <w:right w:val="single" w:color="auto" w:sz="8" w:space="0"/>
            </w:tcBorders>
            <w:noWrap w:val="0"/>
            <w:vAlign w:val="center"/>
          </w:tcPr>
          <w:p w14:paraId="3C2FCBD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二</w:t>
            </w:r>
          </w:p>
        </w:tc>
        <w:tc>
          <w:tcPr>
            <w:tcW w:w="386" w:type="pct"/>
            <w:vMerge w:val="restart"/>
            <w:tcBorders>
              <w:top w:val="single" w:color="auto" w:sz="8" w:space="0"/>
              <w:left w:val="single" w:color="auto" w:sz="8" w:space="0"/>
              <w:bottom w:val="single" w:color="auto" w:sz="8" w:space="0"/>
              <w:right w:val="single" w:color="auto" w:sz="8" w:space="0"/>
            </w:tcBorders>
            <w:noWrap w:val="0"/>
            <w:vAlign w:val="center"/>
          </w:tcPr>
          <w:p w14:paraId="42DA9DC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岗位要求</w:t>
            </w: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074A6F3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熟知岗位职责、能掌握应知应会</w:t>
            </w:r>
            <w:r>
              <w:rPr>
                <w:rFonts w:hint="eastAsia" w:asciiTheme="minorEastAsia" w:hAnsiTheme="minorEastAsia" w:eastAsiaTheme="minorEastAsia" w:cstheme="minorEastAsia"/>
                <w:b w:val="0"/>
                <w:bCs w:val="0"/>
                <w:sz w:val="24"/>
                <w:szCs w:val="24"/>
                <w:highlight w:val="none"/>
                <w:lang w:eastAsia="zh-CN"/>
              </w:rPr>
              <w:t>。</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4A37C63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p>
        </w:tc>
        <w:tc>
          <w:tcPr>
            <w:tcW w:w="530" w:type="pct"/>
            <w:vMerge w:val="restart"/>
            <w:tcBorders>
              <w:top w:val="single" w:color="auto" w:sz="8" w:space="0"/>
              <w:left w:val="single" w:color="auto" w:sz="8" w:space="0"/>
              <w:bottom w:val="single" w:color="auto" w:sz="8" w:space="0"/>
              <w:right w:val="single" w:color="auto" w:sz="8" w:space="0"/>
            </w:tcBorders>
            <w:noWrap w:val="0"/>
            <w:vAlign w:val="center"/>
          </w:tcPr>
          <w:p w14:paraId="5A39C1B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318" w:type="pct"/>
            <w:tcBorders>
              <w:top w:val="single" w:color="auto" w:sz="8" w:space="0"/>
              <w:left w:val="single" w:color="auto" w:sz="8" w:space="0"/>
              <w:bottom w:val="single" w:color="auto" w:sz="8" w:space="0"/>
              <w:right w:val="single" w:color="auto" w:sz="8" w:space="0"/>
            </w:tcBorders>
            <w:noWrap w:val="0"/>
            <w:vAlign w:val="center"/>
          </w:tcPr>
          <w:p w14:paraId="268BF66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p>
        </w:tc>
      </w:tr>
      <w:tr w14:paraId="62660FF3">
        <w:tblPrEx>
          <w:tblCellMar>
            <w:top w:w="0" w:type="dxa"/>
            <w:left w:w="108" w:type="dxa"/>
            <w:bottom w:w="0" w:type="dxa"/>
            <w:right w:w="108" w:type="dxa"/>
          </w:tblCellMar>
        </w:tblPrEx>
        <w:trPr>
          <w:trHeight w:val="151"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6C8E43E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6D99942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3AC8EAF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2.在工作中使用语言要简洁准确、文明规范、接触客户时说话要和气，应使用“您好”、“请”、“您”、“谢谢”、“对不起”、“再见”等文明礼貌用语。</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7308E8D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4F58F52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723ECCA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r>
      <w:tr w14:paraId="63AD4D77">
        <w:tblPrEx>
          <w:tblCellMar>
            <w:top w:w="0" w:type="dxa"/>
            <w:left w:w="108" w:type="dxa"/>
            <w:bottom w:w="0" w:type="dxa"/>
            <w:right w:w="108" w:type="dxa"/>
          </w:tblCellMar>
        </w:tblPrEx>
        <w:trPr>
          <w:trHeight w:val="151"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60CBC85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688F340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5059503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3.值勤时应讲普通话。</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79C6D58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79DFE8C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74FB1F5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r>
      <w:tr w14:paraId="496DD5F3">
        <w:tblPrEx>
          <w:tblCellMar>
            <w:top w:w="0" w:type="dxa"/>
            <w:left w:w="108" w:type="dxa"/>
            <w:bottom w:w="0" w:type="dxa"/>
            <w:right w:w="108" w:type="dxa"/>
          </w:tblCellMar>
        </w:tblPrEx>
        <w:trPr>
          <w:trHeight w:val="511"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1846DDF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38076BE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5837711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来访人员主动接待，待人热情有礼貌</w:t>
            </w:r>
            <w:r>
              <w:rPr>
                <w:rFonts w:hint="eastAsia" w:asciiTheme="minorEastAsia" w:hAnsiTheme="minorEastAsia" w:eastAsiaTheme="minorEastAsia" w:cstheme="minorEastAsia"/>
                <w:b w:val="0"/>
                <w:bCs w:val="0"/>
                <w:sz w:val="24"/>
                <w:szCs w:val="24"/>
                <w:highlight w:val="none"/>
                <w:lang w:eastAsia="zh-CN"/>
              </w:rPr>
              <w:t>。</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18D7A92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125C98A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7EC572D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r>
      <w:tr w14:paraId="5B65E103">
        <w:tblPrEx>
          <w:tblCellMar>
            <w:top w:w="0" w:type="dxa"/>
            <w:left w:w="108" w:type="dxa"/>
            <w:bottom w:w="0" w:type="dxa"/>
            <w:right w:w="108" w:type="dxa"/>
          </w:tblCellMar>
        </w:tblPrEx>
        <w:trPr>
          <w:trHeight w:val="58"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112C510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7D8AEA6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757394D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5.严格在规定范围内开展保安服务工作，不准超越职责权限。发现有超越范围、权限的。一经发现如不经领导同意，向其他单位或个提供保安服务的。</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3B3890C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573BE70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47D8586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BC7A2BB">
        <w:tblPrEx>
          <w:tblCellMar>
            <w:top w:w="0" w:type="dxa"/>
            <w:left w:w="108" w:type="dxa"/>
            <w:bottom w:w="0" w:type="dxa"/>
            <w:right w:w="108" w:type="dxa"/>
          </w:tblCellMar>
        </w:tblPrEx>
        <w:trPr>
          <w:trHeight w:val="58"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2BBE78C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02032A8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716D159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6.岗位上严禁玩手机、吃东西、吸烟、聊天、打闹、打私人电话、听收录机、看书报、接待朋友等与工作岗位无关的事情。</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462D353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61D6717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5D5DAC5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71A152B4">
        <w:tblPrEx>
          <w:tblCellMar>
            <w:top w:w="0" w:type="dxa"/>
            <w:left w:w="108" w:type="dxa"/>
            <w:bottom w:w="0" w:type="dxa"/>
            <w:right w:w="108" w:type="dxa"/>
          </w:tblCellMar>
        </w:tblPrEx>
        <w:trPr>
          <w:trHeight w:val="58"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3479F6A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7B9AA3D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2C16A32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7.不准刁难客户。</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1808349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7C9EF2D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44B71ED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E0A6E82">
        <w:tblPrEx>
          <w:tblCellMar>
            <w:top w:w="0" w:type="dxa"/>
            <w:left w:w="108" w:type="dxa"/>
            <w:bottom w:w="0" w:type="dxa"/>
            <w:right w:w="108" w:type="dxa"/>
          </w:tblCellMar>
        </w:tblPrEx>
        <w:trPr>
          <w:trHeight w:val="52"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680B6C1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3F39A8D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2B64A7C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8.不准脱岗、空岗、睡岗。</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75C9F17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44CF9B7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6458B90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4870AA8">
        <w:tblPrEx>
          <w:tblCellMar>
            <w:top w:w="0" w:type="dxa"/>
            <w:left w:w="108" w:type="dxa"/>
            <w:bottom w:w="0" w:type="dxa"/>
            <w:right w:w="108" w:type="dxa"/>
          </w:tblCellMar>
        </w:tblPrEx>
        <w:trPr>
          <w:trHeight w:val="52"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624818C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35BA052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7CEC54D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9.不准迟到、早退、私自换班／岗。</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74DBED0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66A1423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6E8C751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A97F834">
        <w:tblPrEx>
          <w:tblCellMar>
            <w:top w:w="0" w:type="dxa"/>
            <w:left w:w="108" w:type="dxa"/>
            <w:bottom w:w="0" w:type="dxa"/>
            <w:right w:w="108" w:type="dxa"/>
          </w:tblCellMar>
        </w:tblPrEx>
        <w:trPr>
          <w:trHeight w:val="52"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3893EC2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5EC8476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7537735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10.对客户单位内部的机密事项，不准随意打听、记录、传播。</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70E8D7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22FC770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2FE81A3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25F82E80">
        <w:tblPrEx>
          <w:tblCellMar>
            <w:top w:w="0" w:type="dxa"/>
            <w:left w:w="108" w:type="dxa"/>
            <w:bottom w:w="0" w:type="dxa"/>
            <w:right w:w="108" w:type="dxa"/>
          </w:tblCellMar>
        </w:tblPrEx>
        <w:trPr>
          <w:trHeight w:val="52"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2EAB793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174657A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51585C2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11.未经允许不准动客户物品</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766FB03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13EE145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05B2405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91135A6">
        <w:tblPrEx>
          <w:tblCellMar>
            <w:top w:w="0" w:type="dxa"/>
            <w:left w:w="108" w:type="dxa"/>
            <w:bottom w:w="0" w:type="dxa"/>
            <w:right w:w="108" w:type="dxa"/>
          </w:tblCellMar>
        </w:tblPrEx>
        <w:trPr>
          <w:trHeight w:val="52"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018AF0E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6521BDB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007EDA9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12.未经允许不准接受客户赠送的礼品。</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6DB5698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68583E0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5379DA9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E794D97">
        <w:tblPrEx>
          <w:tblCellMar>
            <w:top w:w="0" w:type="dxa"/>
            <w:left w:w="108" w:type="dxa"/>
            <w:bottom w:w="0" w:type="dxa"/>
            <w:right w:w="108" w:type="dxa"/>
          </w:tblCellMar>
        </w:tblPrEx>
        <w:trPr>
          <w:trHeight w:val="62"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73F3AED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3418077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24F660B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13.有重要情况要妥善处置，及时上报，不准迟报、漏报、误报或隐瞒不报。</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74DE47C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570155A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7C14489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0969E5F">
        <w:tblPrEx>
          <w:tblCellMar>
            <w:top w:w="0" w:type="dxa"/>
            <w:left w:w="108" w:type="dxa"/>
            <w:bottom w:w="0" w:type="dxa"/>
            <w:right w:w="108" w:type="dxa"/>
          </w:tblCellMar>
        </w:tblPrEx>
        <w:trPr>
          <w:trHeight w:val="62"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0053619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7AC5218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11C6AC7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14.认真做好值班记录，做好交接班工作。</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313CBD9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229807F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151935C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8B0DF72">
        <w:tblPrEx>
          <w:tblCellMar>
            <w:top w:w="0" w:type="dxa"/>
            <w:left w:w="108" w:type="dxa"/>
            <w:bottom w:w="0" w:type="dxa"/>
            <w:right w:w="108" w:type="dxa"/>
          </w:tblCellMar>
        </w:tblPrEx>
        <w:trPr>
          <w:trHeight w:val="62"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6A542EA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684F8EC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2EC590B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15.对工作认真负责，搞高服务质量</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0A8F81F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793AD43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6B0680F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1D40F1B">
        <w:tblPrEx>
          <w:tblCellMar>
            <w:top w:w="0" w:type="dxa"/>
            <w:left w:w="108" w:type="dxa"/>
            <w:bottom w:w="0" w:type="dxa"/>
            <w:right w:w="108" w:type="dxa"/>
          </w:tblCellMar>
        </w:tblPrEx>
        <w:trPr>
          <w:trHeight w:val="62"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416E72A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2BEAE98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12F3475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16.在服务过程中严禁发生有效投诉。</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708303E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517BFD2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6F463CA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A5CA52A">
        <w:tblPrEx>
          <w:tblCellMar>
            <w:top w:w="0" w:type="dxa"/>
            <w:left w:w="108" w:type="dxa"/>
            <w:bottom w:w="0" w:type="dxa"/>
            <w:right w:w="108" w:type="dxa"/>
          </w:tblCellMar>
        </w:tblPrEx>
        <w:trPr>
          <w:trHeight w:val="90" w:hRule="atLeast"/>
        </w:trPr>
        <w:tc>
          <w:tcPr>
            <w:tcW w:w="269" w:type="pct"/>
            <w:tcBorders>
              <w:top w:val="single" w:color="auto" w:sz="8" w:space="0"/>
              <w:left w:val="single" w:color="auto" w:sz="8" w:space="0"/>
              <w:bottom w:val="single" w:color="auto" w:sz="8" w:space="0"/>
              <w:right w:val="single" w:color="auto" w:sz="8" w:space="0"/>
            </w:tcBorders>
            <w:noWrap w:val="0"/>
            <w:vAlign w:val="center"/>
          </w:tcPr>
          <w:p w14:paraId="2B82F15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三</w:t>
            </w:r>
          </w:p>
        </w:tc>
        <w:tc>
          <w:tcPr>
            <w:tcW w:w="386" w:type="pct"/>
            <w:tcBorders>
              <w:top w:val="single" w:color="auto" w:sz="8" w:space="0"/>
              <w:left w:val="single" w:color="auto" w:sz="8" w:space="0"/>
              <w:bottom w:val="single" w:color="auto" w:sz="8" w:space="0"/>
              <w:right w:val="single" w:color="auto" w:sz="8" w:space="0"/>
            </w:tcBorders>
            <w:noWrap w:val="0"/>
            <w:vAlign w:val="center"/>
          </w:tcPr>
          <w:p w14:paraId="499D6E3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人员培训</w:t>
            </w: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6347F48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rPr>
              <w:t>对拟派人员的言行规范、仪表仪容、公众形象等进行培训。另外，必需进行必要的队列训练和军姿训练。</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636F7C5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w:t>
            </w:r>
          </w:p>
        </w:tc>
        <w:tc>
          <w:tcPr>
            <w:tcW w:w="530" w:type="pct"/>
            <w:tcBorders>
              <w:top w:val="single" w:color="auto" w:sz="8" w:space="0"/>
              <w:left w:val="single" w:color="auto" w:sz="8" w:space="0"/>
              <w:bottom w:val="single" w:color="auto" w:sz="8" w:space="0"/>
              <w:right w:val="single" w:color="auto" w:sz="8" w:space="0"/>
            </w:tcBorders>
            <w:noWrap w:val="0"/>
            <w:vAlign w:val="center"/>
          </w:tcPr>
          <w:p w14:paraId="36E1121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318" w:type="pct"/>
            <w:tcBorders>
              <w:top w:val="single" w:color="auto" w:sz="8" w:space="0"/>
              <w:left w:val="single" w:color="auto" w:sz="8" w:space="0"/>
              <w:bottom w:val="single" w:color="auto" w:sz="8" w:space="0"/>
              <w:right w:val="single" w:color="auto" w:sz="8" w:space="0"/>
            </w:tcBorders>
            <w:noWrap w:val="0"/>
            <w:vAlign w:val="center"/>
          </w:tcPr>
          <w:p w14:paraId="2F6D319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p>
        </w:tc>
      </w:tr>
      <w:tr w14:paraId="5713C41D">
        <w:tblPrEx>
          <w:tblCellMar>
            <w:top w:w="0" w:type="dxa"/>
            <w:left w:w="108" w:type="dxa"/>
            <w:bottom w:w="0" w:type="dxa"/>
            <w:right w:w="108" w:type="dxa"/>
          </w:tblCellMar>
        </w:tblPrEx>
        <w:trPr>
          <w:trHeight w:val="364" w:hRule="atLeast"/>
        </w:trPr>
        <w:tc>
          <w:tcPr>
            <w:tcW w:w="269" w:type="pct"/>
            <w:vMerge w:val="restart"/>
            <w:tcBorders>
              <w:top w:val="single" w:color="auto" w:sz="8" w:space="0"/>
              <w:left w:val="single" w:color="auto" w:sz="8" w:space="0"/>
              <w:bottom w:val="single" w:color="auto" w:sz="8" w:space="0"/>
              <w:right w:val="single" w:color="auto" w:sz="8" w:space="0"/>
            </w:tcBorders>
            <w:noWrap w:val="0"/>
            <w:vAlign w:val="center"/>
          </w:tcPr>
          <w:p w14:paraId="3AE556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四</w:t>
            </w:r>
          </w:p>
        </w:tc>
        <w:tc>
          <w:tcPr>
            <w:tcW w:w="386" w:type="pct"/>
            <w:vMerge w:val="restart"/>
            <w:tcBorders>
              <w:top w:val="single" w:color="auto" w:sz="8" w:space="0"/>
              <w:left w:val="single" w:color="auto" w:sz="8" w:space="0"/>
              <w:bottom w:val="single" w:color="auto" w:sz="8" w:space="0"/>
              <w:right w:val="single" w:color="auto" w:sz="8" w:space="0"/>
            </w:tcBorders>
            <w:noWrap w:val="0"/>
            <w:vAlign w:val="center"/>
          </w:tcPr>
          <w:p w14:paraId="500906B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门卫管理</w:t>
            </w: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0DD9B6C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重要出入口24小时值班</w:t>
            </w:r>
            <w:r>
              <w:rPr>
                <w:rFonts w:hint="eastAsia" w:asciiTheme="minorEastAsia" w:hAnsiTheme="minorEastAsia" w:eastAsiaTheme="minorEastAsia" w:cstheme="minorEastAsia"/>
                <w:b w:val="0"/>
                <w:bCs w:val="0"/>
                <w:sz w:val="24"/>
                <w:szCs w:val="24"/>
                <w:highlight w:val="none"/>
                <w:lang w:eastAsia="zh-CN"/>
              </w:rPr>
              <w:t>。</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185A104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p>
        </w:tc>
        <w:tc>
          <w:tcPr>
            <w:tcW w:w="530" w:type="pct"/>
            <w:vMerge w:val="restart"/>
            <w:tcBorders>
              <w:top w:val="single" w:color="auto" w:sz="8" w:space="0"/>
              <w:left w:val="single" w:color="auto" w:sz="8" w:space="0"/>
              <w:bottom w:val="single" w:color="auto" w:sz="8" w:space="0"/>
              <w:right w:val="single" w:color="auto" w:sz="8" w:space="0"/>
            </w:tcBorders>
            <w:noWrap w:val="0"/>
            <w:vAlign w:val="center"/>
          </w:tcPr>
          <w:p w14:paraId="220E070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318" w:type="pct"/>
            <w:tcBorders>
              <w:top w:val="single" w:color="auto" w:sz="8" w:space="0"/>
              <w:left w:val="single" w:color="auto" w:sz="8" w:space="0"/>
              <w:bottom w:val="single" w:color="auto" w:sz="8" w:space="0"/>
              <w:right w:val="single" w:color="auto" w:sz="8" w:space="0"/>
            </w:tcBorders>
            <w:noWrap w:val="0"/>
            <w:vAlign w:val="center"/>
          </w:tcPr>
          <w:p w14:paraId="05558C4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p>
        </w:tc>
      </w:tr>
      <w:tr w14:paraId="15DAAE0F">
        <w:tblPrEx>
          <w:tblCellMar>
            <w:top w:w="0" w:type="dxa"/>
            <w:left w:w="108" w:type="dxa"/>
            <w:bottom w:w="0" w:type="dxa"/>
            <w:right w:w="108" w:type="dxa"/>
          </w:tblCellMar>
        </w:tblPrEx>
        <w:trPr>
          <w:trHeight w:val="364"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38B47C5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47E6723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6DF6F1F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2.按规定严格执行相关管理制度，</w:t>
            </w:r>
            <w:r>
              <w:rPr>
                <w:rFonts w:hint="eastAsia" w:asciiTheme="minorEastAsia" w:hAnsiTheme="minorEastAsia" w:eastAsiaTheme="minorEastAsia" w:cstheme="minorEastAsia"/>
                <w:b w:val="0"/>
                <w:bCs w:val="0"/>
                <w:sz w:val="24"/>
                <w:szCs w:val="24"/>
                <w:highlight w:val="none"/>
              </w:rPr>
              <w:t>对外来人员逐一验证、登记及必要安检，若发现疑点，应及时、认真询问，防止闲杂人员进入</w:t>
            </w:r>
            <w:r>
              <w:rPr>
                <w:rFonts w:hint="eastAsia" w:asciiTheme="minorEastAsia" w:hAnsiTheme="minorEastAsia" w:eastAsiaTheme="minorEastAsia" w:cstheme="minorEastAsia"/>
                <w:b w:val="0"/>
                <w:bCs w:val="0"/>
                <w:sz w:val="24"/>
                <w:szCs w:val="24"/>
                <w:highlight w:val="none"/>
                <w:lang w:eastAsia="zh-CN"/>
              </w:rPr>
              <w:t>。</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6E9BC1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48BE2FE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5A36829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6884A28">
        <w:tblPrEx>
          <w:tblCellMar>
            <w:top w:w="0" w:type="dxa"/>
            <w:left w:w="108" w:type="dxa"/>
            <w:bottom w:w="0" w:type="dxa"/>
            <w:right w:w="108" w:type="dxa"/>
          </w:tblCellMar>
        </w:tblPrEx>
        <w:trPr>
          <w:trHeight w:val="364"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78DD814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65E9399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0882002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配合机关信访、保卫部门积极疏导上访人员</w:t>
            </w:r>
            <w:r>
              <w:rPr>
                <w:rFonts w:hint="eastAsia" w:asciiTheme="minorEastAsia" w:hAnsiTheme="minorEastAsia" w:eastAsiaTheme="minorEastAsia" w:cstheme="minorEastAsia"/>
                <w:b w:val="0"/>
                <w:bCs w:val="0"/>
                <w:sz w:val="24"/>
                <w:szCs w:val="24"/>
                <w:highlight w:val="none"/>
                <w:lang w:eastAsia="zh-CN"/>
              </w:rPr>
              <w:t>。</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7BF0E9B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3FD8148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7B84F07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3715BF0">
        <w:tblPrEx>
          <w:tblCellMar>
            <w:top w:w="0" w:type="dxa"/>
            <w:left w:w="108" w:type="dxa"/>
            <w:bottom w:w="0" w:type="dxa"/>
            <w:right w:w="108" w:type="dxa"/>
          </w:tblCellMar>
        </w:tblPrEx>
        <w:trPr>
          <w:trHeight w:val="364"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6D28DDB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797F229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77477FC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对外来车辆逐一核对、登记，防止无准入许可的车辆进入</w:t>
            </w:r>
            <w:r>
              <w:rPr>
                <w:rFonts w:hint="eastAsia" w:asciiTheme="minorEastAsia" w:hAnsiTheme="minorEastAsia" w:eastAsiaTheme="minorEastAsia" w:cstheme="minorEastAsia"/>
                <w:b w:val="0"/>
                <w:bCs w:val="0"/>
                <w:sz w:val="24"/>
                <w:szCs w:val="24"/>
                <w:highlight w:val="none"/>
                <w:lang w:eastAsia="zh-CN"/>
              </w:rPr>
              <w:t>。</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69AB2B4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2534690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1879900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0F1EACC">
        <w:tblPrEx>
          <w:tblCellMar>
            <w:top w:w="0" w:type="dxa"/>
            <w:left w:w="108" w:type="dxa"/>
            <w:bottom w:w="0" w:type="dxa"/>
            <w:right w:w="108" w:type="dxa"/>
          </w:tblCellMar>
        </w:tblPrEx>
        <w:trPr>
          <w:trHeight w:val="364"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292D493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307C9C5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7AB95F7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有效疏导进出车辆，保持出入畅通</w:t>
            </w:r>
            <w:r>
              <w:rPr>
                <w:rFonts w:hint="eastAsia" w:asciiTheme="minorEastAsia" w:hAnsiTheme="minorEastAsia" w:eastAsiaTheme="minorEastAsia" w:cstheme="minorEastAsia"/>
                <w:b w:val="0"/>
                <w:bCs w:val="0"/>
                <w:sz w:val="24"/>
                <w:szCs w:val="24"/>
                <w:highlight w:val="none"/>
                <w:lang w:eastAsia="zh-CN"/>
              </w:rPr>
              <w:t>。</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741FEA5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28552C5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5F53E67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E96652F">
        <w:tblPrEx>
          <w:tblCellMar>
            <w:top w:w="0" w:type="dxa"/>
            <w:left w:w="108" w:type="dxa"/>
            <w:bottom w:w="0" w:type="dxa"/>
            <w:right w:w="108" w:type="dxa"/>
          </w:tblCellMar>
        </w:tblPrEx>
        <w:trPr>
          <w:trHeight w:val="364"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7A2D5D1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0CC20A2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79FD7AC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6.根据货物进出及车辆管理规定，</w:t>
            </w:r>
            <w:r>
              <w:rPr>
                <w:rFonts w:hint="eastAsia" w:asciiTheme="minorEastAsia" w:hAnsiTheme="minorEastAsia" w:eastAsiaTheme="minorEastAsia" w:cstheme="minorEastAsia"/>
                <w:b w:val="0"/>
                <w:bCs w:val="0"/>
                <w:sz w:val="24"/>
                <w:szCs w:val="24"/>
                <w:highlight w:val="none"/>
              </w:rPr>
              <w:t>对进出物品实施分类记录，对大宗物品应当审验，对携带或装运的物品进行查验，严防危险物品进入</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防止</w:t>
            </w:r>
            <w:r>
              <w:rPr>
                <w:rFonts w:hint="eastAsia" w:asciiTheme="minorEastAsia" w:hAnsiTheme="minorEastAsia" w:eastAsiaTheme="minorEastAsia" w:cstheme="minorEastAsia"/>
                <w:b w:val="0"/>
                <w:bCs w:val="0"/>
                <w:sz w:val="24"/>
                <w:szCs w:val="24"/>
                <w:highlight w:val="none"/>
                <w:lang w:val="en-US" w:eastAsia="zh-CN"/>
              </w:rPr>
              <w:t>项目</w:t>
            </w:r>
            <w:r>
              <w:rPr>
                <w:rFonts w:hint="eastAsia" w:asciiTheme="minorEastAsia" w:hAnsiTheme="minorEastAsia" w:eastAsiaTheme="minorEastAsia" w:cstheme="minorEastAsia"/>
                <w:b w:val="0"/>
                <w:bCs w:val="0"/>
                <w:sz w:val="24"/>
                <w:szCs w:val="24"/>
                <w:highlight w:val="none"/>
              </w:rPr>
              <w:t>财物流失。</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6887DDE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61F128E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516F725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C49075C">
        <w:tblPrEx>
          <w:tblCellMar>
            <w:top w:w="0" w:type="dxa"/>
            <w:left w:w="108" w:type="dxa"/>
            <w:bottom w:w="0" w:type="dxa"/>
            <w:right w:w="108" w:type="dxa"/>
          </w:tblCellMar>
        </w:tblPrEx>
        <w:trPr>
          <w:trHeight w:val="501"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54A88F1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32D890F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757A362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7.做好信件、快递收发，做到及时、准确。</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6408F6A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5C5E397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5C72EB7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rPr>
            </w:pPr>
          </w:p>
        </w:tc>
      </w:tr>
      <w:tr w14:paraId="1E2FBF6A">
        <w:tblPrEx>
          <w:tblCellMar>
            <w:top w:w="0" w:type="dxa"/>
            <w:left w:w="108" w:type="dxa"/>
            <w:bottom w:w="0" w:type="dxa"/>
            <w:right w:w="108" w:type="dxa"/>
          </w:tblCellMar>
        </w:tblPrEx>
        <w:trPr>
          <w:trHeight w:val="501" w:hRule="atLeast"/>
        </w:trPr>
        <w:tc>
          <w:tcPr>
            <w:tcW w:w="269" w:type="pct"/>
            <w:vMerge w:val="restart"/>
            <w:tcBorders>
              <w:top w:val="single" w:color="auto" w:sz="8" w:space="0"/>
              <w:left w:val="single" w:color="auto" w:sz="8" w:space="0"/>
              <w:bottom w:val="single" w:color="auto" w:sz="8" w:space="0"/>
              <w:right w:val="single" w:color="auto" w:sz="8" w:space="0"/>
            </w:tcBorders>
            <w:noWrap w:val="0"/>
            <w:vAlign w:val="center"/>
          </w:tcPr>
          <w:p w14:paraId="208F5AE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五</w:t>
            </w:r>
          </w:p>
        </w:tc>
        <w:tc>
          <w:tcPr>
            <w:tcW w:w="386" w:type="pct"/>
            <w:vMerge w:val="restart"/>
            <w:tcBorders>
              <w:top w:val="single" w:color="auto" w:sz="8" w:space="0"/>
              <w:left w:val="single" w:color="auto" w:sz="8" w:space="0"/>
              <w:bottom w:val="single" w:color="auto" w:sz="8" w:space="0"/>
              <w:right w:val="single" w:color="auto" w:sz="8" w:space="0"/>
            </w:tcBorders>
            <w:noWrap w:val="0"/>
            <w:vAlign w:val="center"/>
          </w:tcPr>
          <w:p w14:paraId="33E3083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值班巡查</w:t>
            </w: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6466356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1.严格执行单位保安巡逻制度，</w:t>
            </w:r>
            <w:r>
              <w:rPr>
                <w:rFonts w:hint="eastAsia" w:asciiTheme="minorEastAsia" w:hAnsiTheme="minorEastAsia" w:eastAsiaTheme="minorEastAsia" w:cstheme="minorEastAsia"/>
                <w:b w:val="0"/>
                <w:bCs w:val="0"/>
                <w:sz w:val="24"/>
                <w:szCs w:val="24"/>
                <w:highlight w:val="none"/>
              </w:rPr>
              <w:t>落实24小时值班巡查制度，保证值班电话24小时畅通</w:t>
            </w:r>
            <w:r>
              <w:rPr>
                <w:rFonts w:hint="eastAsia" w:asciiTheme="minorEastAsia" w:hAnsiTheme="minorEastAsia" w:eastAsiaTheme="minorEastAsia" w:cstheme="minorEastAsia"/>
                <w:b w:val="0"/>
                <w:bCs w:val="0"/>
                <w:sz w:val="24"/>
                <w:szCs w:val="24"/>
                <w:highlight w:val="none"/>
                <w:lang w:eastAsia="zh-CN"/>
              </w:rPr>
              <w:t>，保安人员对辖区服务范围目标进行巡查警戒，保卫客户</w:t>
            </w:r>
            <w:r>
              <w:rPr>
                <w:rFonts w:hint="eastAsia" w:asciiTheme="minorEastAsia" w:hAnsiTheme="minorEastAsia" w:eastAsiaTheme="minorEastAsia" w:cstheme="minorEastAsia"/>
                <w:b w:val="0"/>
                <w:bCs w:val="0"/>
                <w:sz w:val="24"/>
                <w:szCs w:val="24"/>
                <w:highlight w:val="none"/>
                <w:lang w:val="en-US" w:eastAsia="zh-CN"/>
              </w:rPr>
              <w:t>安全</w:t>
            </w:r>
            <w:r>
              <w:rPr>
                <w:rFonts w:hint="eastAsia" w:asciiTheme="minorEastAsia" w:hAnsiTheme="minorEastAsia" w:eastAsiaTheme="minorEastAsia" w:cstheme="minorEastAsia"/>
                <w:b w:val="0"/>
                <w:bCs w:val="0"/>
                <w:sz w:val="24"/>
                <w:szCs w:val="24"/>
                <w:highlight w:val="none"/>
                <w:lang w:eastAsia="zh-CN"/>
              </w:rPr>
              <w:t>和公共安全。</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12FE6ED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p>
        </w:tc>
        <w:tc>
          <w:tcPr>
            <w:tcW w:w="530" w:type="pct"/>
            <w:vMerge w:val="restart"/>
            <w:tcBorders>
              <w:top w:val="single" w:color="auto" w:sz="8" w:space="0"/>
              <w:left w:val="single" w:color="auto" w:sz="8" w:space="0"/>
              <w:bottom w:val="single" w:color="auto" w:sz="8" w:space="0"/>
              <w:right w:val="single" w:color="auto" w:sz="8" w:space="0"/>
            </w:tcBorders>
            <w:noWrap w:val="0"/>
            <w:vAlign w:val="center"/>
          </w:tcPr>
          <w:p w14:paraId="19ECF4B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318" w:type="pct"/>
            <w:tcBorders>
              <w:top w:val="single" w:color="auto" w:sz="8" w:space="0"/>
              <w:left w:val="single" w:color="auto" w:sz="8" w:space="0"/>
              <w:bottom w:val="single" w:color="auto" w:sz="8" w:space="0"/>
              <w:right w:val="single" w:color="auto" w:sz="8" w:space="0"/>
            </w:tcBorders>
            <w:noWrap w:val="0"/>
            <w:vAlign w:val="center"/>
          </w:tcPr>
          <w:p w14:paraId="2C70B72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rPr>
            </w:pPr>
          </w:p>
        </w:tc>
      </w:tr>
      <w:tr w14:paraId="2C63A6CE">
        <w:tblPrEx>
          <w:tblCellMar>
            <w:top w:w="0" w:type="dxa"/>
            <w:left w:w="108" w:type="dxa"/>
            <w:bottom w:w="0" w:type="dxa"/>
            <w:right w:w="108" w:type="dxa"/>
          </w:tblCellMar>
        </w:tblPrEx>
        <w:trPr>
          <w:trHeight w:val="458"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3D33C10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3E07A9A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4CFE4D9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根据机关保卫部门要求，合理安排巡查路线，确保重点部位全覆盖</w:t>
            </w:r>
            <w:r>
              <w:rPr>
                <w:rFonts w:hint="eastAsia" w:asciiTheme="minorEastAsia" w:hAnsiTheme="minorEastAsia" w:eastAsiaTheme="minorEastAsia" w:cstheme="minorEastAsia"/>
                <w:b w:val="0"/>
                <w:bCs w:val="0"/>
                <w:sz w:val="24"/>
                <w:szCs w:val="24"/>
                <w:highlight w:val="none"/>
                <w:lang w:eastAsia="zh-CN"/>
              </w:rPr>
              <w:t>，震慑不法分子，使不法分子打消不法侵害的企图。</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6E9B69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5F44000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5AAB35C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1AFA25F">
        <w:tblPrEx>
          <w:tblCellMar>
            <w:top w:w="0" w:type="dxa"/>
            <w:left w:w="108" w:type="dxa"/>
            <w:bottom w:w="0" w:type="dxa"/>
            <w:right w:w="108" w:type="dxa"/>
          </w:tblCellMar>
        </w:tblPrEx>
        <w:trPr>
          <w:trHeight w:val="458"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4F75DC1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274C65D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6F25A19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3.通过巡逻发现可疑人员时，对其进行询问，对有作案嫌疑的，应及时布控，上报有关领导处理。</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52B91D1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3C8D3B5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2BE729D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1275F24">
        <w:tblPrEx>
          <w:tblCellMar>
            <w:top w:w="0" w:type="dxa"/>
            <w:left w:w="108" w:type="dxa"/>
            <w:bottom w:w="0" w:type="dxa"/>
            <w:right w:w="108" w:type="dxa"/>
          </w:tblCellMar>
        </w:tblPrEx>
        <w:trPr>
          <w:trHeight w:val="201"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0E51646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09EED6E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0B4A6B3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发现违规行为应及时制止，发现异常情况应立即通知相关部门并在现场采取必要措施</w:t>
            </w:r>
            <w:r>
              <w:rPr>
                <w:rFonts w:hint="eastAsia" w:asciiTheme="minorEastAsia" w:hAnsiTheme="minorEastAsia" w:eastAsiaTheme="minorEastAsia" w:cstheme="minorEastAsia"/>
                <w:b w:val="0"/>
                <w:bCs w:val="0"/>
                <w:sz w:val="24"/>
                <w:szCs w:val="24"/>
                <w:highlight w:val="none"/>
                <w:lang w:eastAsia="zh-CN"/>
              </w:rPr>
              <w:t>。</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0F7025D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14C1136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0D881DA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2EF19F15">
        <w:tblPrEx>
          <w:tblCellMar>
            <w:top w:w="0" w:type="dxa"/>
            <w:left w:w="108" w:type="dxa"/>
            <w:bottom w:w="0" w:type="dxa"/>
            <w:right w:w="108" w:type="dxa"/>
          </w:tblCellMar>
        </w:tblPrEx>
        <w:trPr>
          <w:trHeight w:val="201"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2632DDF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650ACE3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49704E9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5.检查中及时消除各种不安全隐患，包括防火、防盗、防自然灾害、设施设备及跑、冒、滴、漏等事故发生。</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67311B2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09CD9B1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39E0A23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C428B10">
        <w:tblPrEx>
          <w:tblCellMar>
            <w:top w:w="0" w:type="dxa"/>
            <w:left w:w="108" w:type="dxa"/>
            <w:bottom w:w="0" w:type="dxa"/>
            <w:right w:w="108" w:type="dxa"/>
          </w:tblCellMar>
        </w:tblPrEx>
        <w:trPr>
          <w:trHeight w:val="501"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7E67607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69214F9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584D420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w:t>
            </w:r>
            <w:r>
              <w:rPr>
                <w:rFonts w:hint="eastAsia" w:asciiTheme="minorEastAsia" w:hAnsiTheme="minorEastAsia" w:eastAsiaTheme="minorEastAsia" w:cstheme="minorEastAsia"/>
                <w:b w:val="0"/>
                <w:bCs w:val="0"/>
                <w:sz w:val="24"/>
                <w:szCs w:val="24"/>
                <w:highlight w:val="none"/>
              </w:rPr>
              <w:t>收到监控中心指令后，巡查人员应及时到达指定地点并迅速采取相应措施</w:t>
            </w:r>
            <w:r>
              <w:rPr>
                <w:rFonts w:hint="eastAsia" w:asciiTheme="minorEastAsia" w:hAnsiTheme="minorEastAsia" w:eastAsiaTheme="minorEastAsia" w:cstheme="minorEastAsia"/>
                <w:b w:val="0"/>
                <w:bCs w:val="0"/>
                <w:sz w:val="24"/>
                <w:szCs w:val="24"/>
                <w:highlight w:val="none"/>
                <w:lang w:eastAsia="zh-CN"/>
              </w:rPr>
              <w:t>。</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262C2B0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2FEDA50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655BBCA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E24EBBC">
        <w:tblPrEx>
          <w:tblCellMar>
            <w:top w:w="0" w:type="dxa"/>
            <w:left w:w="108" w:type="dxa"/>
            <w:bottom w:w="0" w:type="dxa"/>
            <w:right w:w="108" w:type="dxa"/>
          </w:tblCellMar>
        </w:tblPrEx>
        <w:trPr>
          <w:trHeight w:val="501"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0674A3A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500DF1F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01633B3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w:t>
            </w:r>
            <w:r>
              <w:rPr>
                <w:rFonts w:hint="eastAsia" w:asciiTheme="minorEastAsia" w:hAnsiTheme="minorEastAsia" w:eastAsiaTheme="minorEastAsia" w:cstheme="minorEastAsia"/>
                <w:b w:val="0"/>
                <w:bCs w:val="0"/>
                <w:sz w:val="24"/>
                <w:szCs w:val="24"/>
                <w:highlight w:val="none"/>
              </w:rPr>
              <w:t>发现消火栓、安全警示标志等公共安全设备设施损坏、缺失或不能正常使用等情况，应及时报告、记录并及时安排维保人员进行处理。</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5BB9F64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059DF74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6B75A0F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65F62D8">
        <w:tblPrEx>
          <w:tblCellMar>
            <w:top w:w="0" w:type="dxa"/>
            <w:left w:w="108" w:type="dxa"/>
            <w:bottom w:w="0" w:type="dxa"/>
            <w:right w:w="108" w:type="dxa"/>
          </w:tblCellMar>
        </w:tblPrEx>
        <w:trPr>
          <w:trHeight w:val="702" w:hRule="atLeast"/>
        </w:trPr>
        <w:tc>
          <w:tcPr>
            <w:tcW w:w="269" w:type="pct"/>
            <w:vMerge w:val="restart"/>
            <w:tcBorders>
              <w:top w:val="single" w:color="auto" w:sz="8" w:space="0"/>
              <w:left w:val="single" w:color="auto" w:sz="8" w:space="0"/>
              <w:bottom w:val="single" w:color="auto" w:sz="8" w:space="0"/>
              <w:right w:val="single" w:color="auto" w:sz="8" w:space="0"/>
            </w:tcBorders>
            <w:noWrap w:val="0"/>
            <w:vAlign w:val="center"/>
          </w:tcPr>
          <w:p w14:paraId="0B96C3A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六</w:t>
            </w:r>
          </w:p>
        </w:tc>
        <w:tc>
          <w:tcPr>
            <w:tcW w:w="386" w:type="pct"/>
            <w:vMerge w:val="restart"/>
            <w:tcBorders>
              <w:top w:val="single" w:color="auto" w:sz="8" w:space="0"/>
              <w:left w:val="single" w:color="auto" w:sz="8" w:space="0"/>
              <w:bottom w:val="single" w:color="auto" w:sz="8" w:space="0"/>
              <w:right w:val="single" w:color="auto" w:sz="8" w:space="0"/>
            </w:tcBorders>
            <w:noWrap w:val="0"/>
            <w:vAlign w:val="center"/>
          </w:tcPr>
          <w:p w14:paraId="3E4FF17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监控值守</w:t>
            </w: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6CF4628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highlight w:val="yellow"/>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监控设施应24小时正常运行，双人值守并合理安排值守时间，如有故障应及时排除，保证对安全出入口、内部重点区域的安全监控，并保持完整记录，监控资料按规定期限</w:t>
            </w:r>
            <w:r>
              <w:rPr>
                <w:rFonts w:hint="eastAsia" w:asciiTheme="minorEastAsia" w:hAnsiTheme="minorEastAsia" w:eastAsiaTheme="minorEastAsia" w:cstheme="minorEastAsia"/>
                <w:b w:val="0"/>
                <w:bCs w:val="0"/>
                <w:sz w:val="24"/>
                <w:szCs w:val="24"/>
                <w:highlight w:val="none"/>
                <w:lang w:val="en-US" w:eastAsia="zh-CN"/>
              </w:rPr>
              <w:t>不少于90天</w:t>
            </w:r>
            <w:r>
              <w:rPr>
                <w:rFonts w:hint="eastAsia" w:asciiTheme="minorEastAsia" w:hAnsiTheme="minorEastAsia" w:eastAsiaTheme="minorEastAsia" w:cstheme="minorEastAsia"/>
                <w:b w:val="0"/>
                <w:bCs w:val="0"/>
                <w:sz w:val="24"/>
                <w:szCs w:val="24"/>
                <w:highlight w:val="none"/>
              </w:rPr>
              <w:t>保留</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kern w:val="0"/>
                <w:sz w:val="24"/>
                <w:szCs w:val="24"/>
                <w:highlight w:val="none"/>
              </w:rPr>
              <w:t>　</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671FFA6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530" w:type="pct"/>
            <w:vMerge w:val="restart"/>
            <w:tcBorders>
              <w:top w:val="single" w:color="auto" w:sz="8" w:space="0"/>
              <w:left w:val="single" w:color="auto" w:sz="8" w:space="0"/>
              <w:bottom w:val="single" w:color="auto" w:sz="8" w:space="0"/>
              <w:right w:val="single" w:color="auto" w:sz="8" w:space="0"/>
            </w:tcBorders>
            <w:noWrap w:val="0"/>
            <w:vAlign w:val="center"/>
          </w:tcPr>
          <w:p w14:paraId="7A590D2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318" w:type="pct"/>
            <w:tcBorders>
              <w:top w:val="single" w:color="auto" w:sz="8" w:space="0"/>
              <w:left w:val="single" w:color="auto" w:sz="8" w:space="0"/>
              <w:bottom w:val="single" w:color="auto" w:sz="8" w:space="0"/>
              <w:right w:val="single" w:color="auto" w:sz="8" w:space="0"/>
            </w:tcBorders>
            <w:noWrap w:val="0"/>
            <w:vAlign w:val="center"/>
          </w:tcPr>
          <w:p w14:paraId="4AB9F91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r>
      <w:tr w14:paraId="35A1E33B">
        <w:tblPrEx>
          <w:tblCellMar>
            <w:top w:w="0" w:type="dxa"/>
            <w:left w:w="108" w:type="dxa"/>
            <w:bottom w:w="0" w:type="dxa"/>
            <w:right w:w="108" w:type="dxa"/>
          </w:tblCellMar>
        </w:tblPrEx>
        <w:trPr>
          <w:trHeight w:val="702"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1EF4AD7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727D0F0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71F834A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在夜晚采取补光等措施，确保视频图像清晰，确保安全出入口和内部重点部位的视频监控无死角、无盲区</w:t>
            </w:r>
            <w:r>
              <w:rPr>
                <w:rFonts w:hint="eastAsia" w:asciiTheme="minorEastAsia" w:hAnsiTheme="minorEastAsia" w:eastAsiaTheme="minorEastAsia" w:cstheme="minorEastAsia"/>
                <w:b w:val="0"/>
                <w:bCs w:val="0"/>
                <w:sz w:val="24"/>
                <w:szCs w:val="24"/>
                <w:highlight w:val="none"/>
                <w:lang w:eastAsia="zh-CN"/>
              </w:rPr>
              <w:t>。</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10BAB83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043C1DF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3CC5E52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C456E7F">
        <w:tblPrEx>
          <w:tblCellMar>
            <w:top w:w="0" w:type="dxa"/>
            <w:left w:w="108" w:type="dxa"/>
            <w:bottom w:w="0" w:type="dxa"/>
            <w:right w:w="108" w:type="dxa"/>
          </w:tblCellMar>
        </w:tblPrEx>
        <w:trPr>
          <w:trHeight w:val="702"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7BF85CD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160287C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551D1F5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监控中心收到险情、火情等报警信号及其他异常情况的信号后，应及时报警并安排其他安保人员携带处置装备及时赶到报警点进行现场处理</w:t>
            </w:r>
            <w:r>
              <w:rPr>
                <w:rFonts w:hint="eastAsia" w:asciiTheme="minorEastAsia" w:hAnsiTheme="minorEastAsia" w:eastAsiaTheme="minorEastAsia" w:cstheme="minorEastAsia"/>
                <w:b w:val="0"/>
                <w:bCs w:val="0"/>
                <w:sz w:val="24"/>
                <w:szCs w:val="24"/>
                <w:highlight w:val="none"/>
                <w:lang w:eastAsia="zh-CN"/>
              </w:rPr>
              <w:t>。</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230FA4F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44CD70E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2D5ED5F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9C6991C">
        <w:tblPrEx>
          <w:tblCellMar>
            <w:top w:w="0" w:type="dxa"/>
            <w:left w:w="108" w:type="dxa"/>
            <w:bottom w:w="0" w:type="dxa"/>
            <w:right w:w="108" w:type="dxa"/>
          </w:tblCellMar>
        </w:tblPrEx>
        <w:trPr>
          <w:trHeight w:val="458"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0837F35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655A773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5FA3B48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保持治安电话畅通，接听及时。</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67E32BD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1D607E6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6F509D3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1B207C2">
        <w:tblPrEx>
          <w:tblCellMar>
            <w:top w:w="0" w:type="dxa"/>
            <w:left w:w="108" w:type="dxa"/>
            <w:bottom w:w="0" w:type="dxa"/>
            <w:right w:w="108" w:type="dxa"/>
          </w:tblCellMar>
        </w:tblPrEx>
        <w:trPr>
          <w:trHeight w:val="996" w:hRule="atLeast"/>
        </w:trPr>
        <w:tc>
          <w:tcPr>
            <w:tcW w:w="269" w:type="pct"/>
            <w:vMerge w:val="restart"/>
            <w:tcBorders>
              <w:top w:val="single" w:color="auto" w:sz="8" w:space="0"/>
              <w:left w:val="single" w:color="auto" w:sz="8" w:space="0"/>
              <w:bottom w:val="single" w:color="auto" w:sz="8" w:space="0"/>
              <w:right w:val="single" w:color="auto" w:sz="8" w:space="0"/>
            </w:tcBorders>
            <w:noWrap w:val="0"/>
            <w:vAlign w:val="center"/>
          </w:tcPr>
          <w:p w14:paraId="35CAD69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七</w:t>
            </w:r>
          </w:p>
        </w:tc>
        <w:tc>
          <w:tcPr>
            <w:tcW w:w="386" w:type="pct"/>
            <w:vMerge w:val="restart"/>
            <w:tcBorders>
              <w:top w:val="single" w:color="auto" w:sz="8" w:space="0"/>
              <w:left w:val="single" w:color="auto" w:sz="8" w:space="0"/>
              <w:bottom w:val="single" w:color="auto" w:sz="8" w:space="0"/>
              <w:right w:val="single" w:color="auto" w:sz="8" w:space="0"/>
            </w:tcBorders>
            <w:noWrap w:val="0"/>
            <w:vAlign w:val="center"/>
          </w:tcPr>
          <w:p w14:paraId="33BAEBB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rPr>
              <w:t>车辆停放</w:t>
            </w: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28D0F5B4">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院内设置行车指示、限速等标识和路口反光镜，规定行驶路线，指定停放区域，保证车辆有序通行、便于停放</w:t>
            </w:r>
            <w:r>
              <w:rPr>
                <w:rFonts w:hint="eastAsia" w:asciiTheme="minorEastAsia" w:hAnsiTheme="minorEastAsia" w:eastAsiaTheme="minorEastAsia" w:cstheme="minorEastAsia"/>
                <w:b w:val="0"/>
                <w:bCs w:val="0"/>
                <w:sz w:val="24"/>
                <w:szCs w:val="24"/>
                <w:highlight w:val="none"/>
                <w:lang w:eastAsia="zh-CN"/>
              </w:rPr>
              <w:t>。</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5C2F7C2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530" w:type="pct"/>
            <w:vMerge w:val="restart"/>
            <w:tcBorders>
              <w:top w:val="single" w:color="auto" w:sz="8" w:space="0"/>
              <w:left w:val="single" w:color="auto" w:sz="8" w:space="0"/>
              <w:bottom w:val="single" w:color="auto" w:sz="8" w:space="0"/>
              <w:right w:val="single" w:color="auto" w:sz="8" w:space="0"/>
            </w:tcBorders>
            <w:noWrap w:val="0"/>
            <w:vAlign w:val="center"/>
          </w:tcPr>
          <w:p w14:paraId="6B6D2E4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318" w:type="pct"/>
            <w:tcBorders>
              <w:top w:val="single" w:color="auto" w:sz="8" w:space="0"/>
              <w:left w:val="single" w:color="auto" w:sz="8" w:space="0"/>
              <w:bottom w:val="single" w:color="auto" w:sz="8" w:space="0"/>
              <w:right w:val="single" w:color="auto" w:sz="8" w:space="0"/>
            </w:tcBorders>
            <w:noWrap w:val="0"/>
            <w:vAlign w:val="center"/>
          </w:tcPr>
          <w:p w14:paraId="33F3BB8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sz w:val="24"/>
                <w:szCs w:val="24"/>
                <w:lang w:val="en-US" w:eastAsia="zh-CN"/>
              </w:rPr>
            </w:pPr>
          </w:p>
        </w:tc>
      </w:tr>
      <w:tr w14:paraId="4B9BB831">
        <w:tblPrEx>
          <w:tblCellMar>
            <w:top w:w="0" w:type="dxa"/>
            <w:left w:w="108" w:type="dxa"/>
            <w:bottom w:w="0" w:type="dxa"/>
            <w:right w:w="108" w:type="dxa"/>
          </w:tblCellMar>
        </w:tblPrEx>
        <w:trPr>
          <w:trHeight w:val="996"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03A5B33C">
            <w:pPr>
              <w:keepNext w:val="0"/>
              <w:keepLines w:val="0"/>
              <w:pageBreakBefore w:val="0"/>
              <w:widowControl w:val="0"/>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sz w:val="24"/>
                <w:szCs w:val="24"/>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60D3A342">
            <w:pPr>
              <w:keepNext w:val="0"/>
              <w:keepLines w:val="0"/>
              <w:pageBreakBefore w:val="0"/>
              <w:widowControl w:val="0"/>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sz w:val="24"/>
                <w:szCs w:val="24"/>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34D0477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车库专人管理，定时清洁，无易燃易爆等危险品存放，监控、照明、抽水、消防器械配置齐全、正常运行</w:t>
            </w:r>
            <w:r>
              <w:rPr>
                <w:rFonts w:hint="eastAsia" w:asciiTheme="minorEastAsia" w:hAnsiTheme="minorEastAsia" w:eastAsiaTheme="minorEastAsia" w:cstheme="minorEastAsia"/>
                <w:b w:val="0"/>
                <w:bCs w:val="0"/>
                <w:sz w:val="24"/>
                <w:szCs w:val="24"/>
                <w:highlight w:val="none"/>
                <w:lang w:eastAsia="zh-CN"/>
              </w:rPr>
              <w:t>。</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626BA59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5D4BFEE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29D0E4D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E8248F6">
        <w:tblPrEx>
          <w:tblCellMar>
            <w:top w:w="0" w:type="dxa"/>
            <w:left w:w="108" w:type="dxa"/>
            <w:bottom w:w="0" w:type="dxa"/>
            <w:right w:w="108" w:type="dxa"/>
          </w:tblCellMar>
        </w:tblPrEx>
        <w:trPr>
          <w:trHeight w:val="1077"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63DD3E9D">
            <w:pPr>
              <w:keepNext w:val="0"/>
              <w:keepLines w:val="0"/>
              <w:pageBreakBefore w:val="0"/>
              <w:widowControl w:val="0"/>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7784C1E8">
            <w:pPr>
              <w:keepNext w:val="0"/>
              <w:keepLines w:val="0"/>
              <w:pageBreakBefore w:val="0"/>
              <w:widowControl w:val="0"/>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66EEAD5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非机动车定点有序停放。</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36635F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1DBD0F7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1FB4535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9A7B522">
        <w:tblPrEx>
          <w:tblCellMar>
            <w:top w:w="0" w:type="dxa"/>
            <w:left w:w="108" w:type="dxa"/>
            <w:bottom w:w="0" w:type="dxa"/>
            <w:right w:w="108" w:type="dxa"/>
          </w:tblCellMar>
        </w:tblPrEx>
        <w:trPr>
          <w:trHeight w:val="90" w:hRule="atLeast"/>
        </w:trPr>
        <w:tc>
          <w:tcPr>
            <w:tcW w:w="269" w:type="pct"/>
            <w:vMerge w:val="restart"/>
            <w:tcBorders>
              <w:top w:val="single" w:color="auto" w:sz="8" w:space="0"/>
              <w:left w:val="single" w:color="auto" w:sz="8" w:space="0"/>
              <w:bottom w:val="single" w:color="auto" w:sz="8" w:space="0"/>
              <w:right w:val="single" w:color="auto" w:sz="8" w:space="0"/>
            </w:tcBorders>
            <w:noWrap w:val="0"/>
            <w:vAlign w:val="center"/>
          </w:tcPr>
          <w:p w14:paraId="612F477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八</w:t>
            </w:r>
          </w:p>
        </w:tc>
        <w:tc>
          <w:tcPr>
            <w:tcW w:w="386" w:type="pct"/>
            <w:vMerge w:val="restart"/>
            <w:tcBorders>
              <w:top w:val="single" w:color="auto" w:sz="8" w:space="0"/>
              <w:left w:val="single" w:color="auto" w:sz="8" w:space="0"/>
              <w:bottom w:val="single" w:color="auto" w:sz="8" w:space="0"/>
              <w:right w:val="single" w:color="auto" w:sz="8" w:space="0"/>
            </w:tcBorders>
            <w:noWrap w:val="0"/>
            <w:vAlign w:val="center"/>
          </w:tcPr>
          <w:p w14:paraId="2EA3F3F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rPr>
              <w:t>消防管理</w:t>
            </w: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08BB82C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建立消防安全责任制</w:t>
            </w:r>
            <w:r>
              <w:rPr>
                <w:rFonts w:hint="eastAsia" w:asciiTheme="minorEastAsia" w:hAnsiTheme="minorEastAsia" w:eastAsiaTheme="minorEastAsia" w:cstheme="minorEastAsia"/>
                <w:b w:val="0"/>
                <w:bCs w:val="0"/>
                <w:sz w:val="24"/>
                <w:szCs w:val="24"/>
                <w:highlight w:val="none"/>
                <w:lang w:eastAsia="zh-CN"/>
              </w:rPr>
              <w:t>。</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1E63891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530" w:type="pct"/>
            <w:vMerge w:val="restart"/>
            <w:tcBorders>
              <w:top w:val="single" w:color="auto" w:sz="8" w:space="0"/>
              <w:left w:val="single" w:color="auto" w:sz="8" w:space="0"/>
              <w:bottom w:val="single" w:color="auto" w:sz="8" w:space="0"/>
              <w:right w:val="single" w:color="auto" w:sz="8" w:space="0"/>
            </w:tcBorders>
            <w:noWrap w:val="0"/>
            <w:vAlign w:val="center"/>
          </w:tcPr>
          <w:p w14:paraId="7FFD724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318" w:type="pct"/>
            <w:tcBorders>
              <w:top w:val="single" w:color="auto" w:sz="8" w:space="0"/>
              <w:left w:val="single" w:color="auto" w:sz="8" w:space="0"/>
              <w:bottom w:val="single" w:color="auto" w:sz="8" w:space="0"/>
              <w:right w:val="single" w:color="auto" w:sz="8" w:space="0"/>
            </w:tcBorders>
            <w:noWrap w:val="0"/>
            <w:vAlign w:val="center"/>
          </w:tcPr>
          <w:p w14:paraId="17F45B3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lang w:val="en-US" w:eastAsia="zh-CN"/>
              </w:rPr>
            </w:pPr>
          </w:p>
        </w:tc>
      </w:tr>
      <w:tr w14:paraId="22C16540">
        <w:tblPrEx>
          <w:tblCellMar>
            <w:top w:w="0" w:type="dxa"/>
            <w:left w:w="108" w:type="dxa"/>
            <w:bottom w:w="0" w:type="dxa"/>
            <w:right w:w="108" w:type="dxa"/>
          </w:tblCellMar>
        </w:tblPrEx>
        <w:trPr>
          <w:trHeight w:val="356"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2FBF413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35C8BE7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46C8DAB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保持所有消防通道畅通，在明显位置设置疏散示意图</w:t>
            </w:r>
            <w:r>
              <w:rPr>
                <w:rFonts w:hint="eastAsia" w:asciiTheme="minorEastAsia" w:hAnsiTheme="minorEastAsia" w:eastAsiaTheme="minorEastAsia" w:cstheme="minorEastAsia"/>
                <w:b w:val="0"/>
                <w:bCs w:val="0"/>
                <w:sz w:val="24"/>
                <w:szCs w:val="24"/>
                <w:highlight w:val="none"/>
                <w:lang w:eastAsia="zh-CN"/>
              </w:rPr>
              <w:t>。</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43ED4BD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7AD659C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61CB9F7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1D8A058">
        <w:tblPrEx>
          <w:tblCellMar>
            <w:top w:w="0" w:type="dxa"/>
            <w:left w:w="108" w:type="dxa"/>
            <w:bottom w:w="0" w:type="dxa"/>
            <w:right w:w="108" w:type="dxa"/>
          </w:tblCellMar>
        </w:tblPrEx>
        <w:trPr>
          <w:trHeight w:val="356"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5F3CC07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7304750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3C60A9F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消防设施有明显标志，定期巡检和维护消防设备设施，保持完好、完整和正常使用，并保留文字记录，按时上报</w:t>
            </w:r>
            <w:r>
              <w:rPr>
                <w:rFonts w:hint="eastAsia" w:asciiTheme="minorEastAsia" w:hAnsiTheme="minorEastAsia" w:eastAsiaTheme="minorEastAsia" w:cstheme="minorEastAsia"/>
                <w:b w:val="0"/>
                <w:bCs w:val="0"/>
                <w:sz w:val="24"/>
                <w:szCs w:val="24"/>
                <w:highlight w:val="none"/>
                <w:lang w:eastAsia="zh-CN"/>
              </w:rPr>
              <w:t>。</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7A85F3D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69F9666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577D0B8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273B3E5A">
        <w:tblPrEx>
          <w:tblCellMar>
            <w:top w:w="0" w:type="dxa"/>
            <w:left w:w="108" w:type="dxa"/>
            <w:bottom w:w="0" w:type="dxa"/>
            <w:right w:w="108" w:type="dxa"/>
          </w:tblCellMar>
        </w:tblPrEx>
        <w:trPr>
          <w:trHeight w:val="356"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2C2615D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6DDF138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600B83E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对易燃易爆品设专区专人管理</w:t>
            </w:r>
            <w:r>
              <w:rPr>
                <w:rFonts w:hint="eastAsia" w:asciiTheme="minorEastAsia" w:hAnsiTheme="minorEastAsia" w:eastAsiaTheme="minorEastAsia" w:cstheme="minorEastAsia"/>
                <w:b w:val="0"/>
                <w:bCs w:val="0"/>
                <w:sz w:val="24"/>
                <w:szCs w:val="24"/>
                <w:highlight w:val="none"/>
                <w:lang w:eastAsia="zh-CN"/>
              </w:rPr>
              <w:t>。</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282A422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6669A0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41A3A70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CFAD40B">
        <w:tblPrEx>
          <w:tblCellMar>
            <w:top w:w="0" w:type="dxa"/>
            <w:left w:w="108" w:type="dxa"/>
            <w:bottom w:w="0" w:type="dxa"/>
            <w:right w:w="108" w:type="dxa"/>
          </w:tblCellMar>
        </w:tblPrEx>
        <w:trPr>
          <w:trHeight w:val="356"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5F996B3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72EA35A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3064292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每年至少组织1次消防演练或培训</w:t>
            </w:r>
            <w:r>
              <w:rPr>
                <w:rFonts w:hint="eastAsia" w:asciiTheme="minorEastAsia" w:hAnsiTheme="minorEastAsia" w:eastAsiaTheme="minorEastAsia" w:cstheme="minorEastAsia"/>
                <w:b w:val="0"/>
                <w:bCs w:val="0"/>
                <w:sz w:val="24"/>
                <w:szCs w:val="24"/>
                <w:highlight w:val="none"/>
                <w:lang w:eastAsia="zh-CN"/>
              </w:rPr>
              <w:t>。</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7C57116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7A79AC6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73631A9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51C17F7">
        <w:tblPrEx>
          <w:tblCellMar>
            <w:top w:w="0" w:type="dxa"/>
            <w:left w:w="108" w:type="dxa"/>
            <w:bottom w:w="0" w:type="dxa"/>
            <w:right w:w="108" w:type="dxa"/>
          </w:tblCellMar>
        </w:tblPrEx>
        <w:trPr>
          <w:trHeight w:val="356"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2162D5D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5E869E0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12E1978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w:t>
            </w:r>
            <w:r>
              <w:rPr>
                <w:rFonts w:hint="eastAsia" w:asciiTheme="minorEastAsia" w:hAnsiTheme="minorEastAsia" w:eastAsiaTheme="minorEastAsia" w:cstheme="minorEastAsia"/>
                <w:b w:val="0"/>
                <w:bCs w:val="0"/>
                <w:sz w:val="24"/>
                <w:szCs w:val="24"/>
                <w:highlight w:val="none"/>
              </w:rPr>
              <w:t>消防设备维保质量应达到消防要求，并保证系统开通率及完好率</w:t>
            </w:r>
            <w:r>
              <w:rPr>
                <w:rFonts w:hint="eastAsia" w:asciiTheme="minorEastAsia" w:hAnsiTheme="minorEastAsia" w:eastAsiaTheme="minorEastAsia" w:cstheme="minorEastAsia"/>
                <w:b w:val="0"/>
                <w:bCs w:val="0"/>
                <w:sz w:val="24"/>
                <w:szCs w:val="24"/>
                <w:highlight w:val="none"/>
                <w:lang w:eastAsia="zh-CN"/>
              </w:rPr>
              <w:t>。</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4C0C7A5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11BABE2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400F180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A02B4AA">
        <w:tblPrEx>
          <w:tblCellMar>
            <w:top w:w="0" w:type="dxa"/>
            <w:left w:w="108" w:type="dxa"/>
            <w:bottom w:w="0" w:type="dxa"/>
            <w:right w:w="108" w:type="dxa"/>
          </w:tblCellMar>
        </w:tblPrEx>
        <w:trPr>
          <w:trHeight w:val="356" w:hRule="atLeast"/>
        </w:trPr>
        <w:tc>
          <w:tcPr>
            <w:tcW w:w="269" w:type="pct"/>
            <w:vMerge w:val="continue"/>
            <w:tcBorders>
              <w:top w:val="single" w:color="auto" w:sz="8" w:space="0"/>
              <w:left w:val="single" w:color="auto" w:sz="8" w:space="0"/>
              <w:bottom w:val="single" w:color="auto" w:sz="8" w:space="0"/>
              <w:right w:val="single" w:color="auto" w:sz="8" w:space="0"/>
            </w:tcBorders>
            <w:noWrap w:val="0"/>
            <w:vAlign w:val="center"/>
          </w:tcPr>
          <w:p w14:paraId="6ED9DBC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6" w:type="pct"/>
            <w:vMerge w:val="continue"/>
            <w:tcBorders>
              <w:top w:val="single" w:color="auto" w:sz="8" w:space="0"/>
              <w:left w:val="single" w:color="auto" w:sz="8" w:space="0"/>
              <w:bottom w:val="single" w:color="auto" w:sz="8" w:space="0"/>
              <w:right w:val="single" w:color="auto" w:sz="8" w:space="0"/>
            </w:tcBorders>
            <w:noWrap w:val="0"/>
            <w:vAlign w:val="center"/>
          </w:tcPr>
          <w:p w14:paraId="51B6908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6" w:type="pct"/>
            <w:gridSpan w:val="2"/>
            <w:tcBorders>
              <w:top w:val="single" w:color="auto" w:sz="8" w:space="0"/>
              <w:left w:val="single" w:color="auto" w:sz="8" w:space="0"/>
              <w:bottom w:val="single" w:color="auto" w:sz="8" w:space="0"/>
              <w:right w:val="single" w:color="auto" w:sz="8" w:space="0"/>
            </w:tcBorders>
            <w:noWrap w:val="0"/>
            <w:vAlign w:val="center"/>
          </w:tcPr>
          <w:p w14:paraId="32F5EAE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w:t>
            </w:r>
            <w:r>
              <w:rPr>
                <w:rFonts w:hint="eastAsia" w:asciiTheme="minorEastAsia" w:hAnsiTheme="minorEastAsia" w:eastAsiaTheme="minorEastAsia" w:cstheme="minorEastAsia"/>
                <w:b w:val="0"/>
                <w:bCs w:val="0"/>
                <w:sz w:val="24"/>
                <w:szCs w:val="24"/>
                <w:highlight w:val="none"/>
              </w:rPr>
              <w:t>应定期检查消防设备，重大节假日前巡检1次，零修合格率应达到100%。</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724C6DD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30" w:type="pct"/>
            <w:vMerge w:val="continue"/>
            <w:tcBorders>
              <w:top w:val="single" w:color="auto" w:sz="8" w:space="0"/>
              <w:left w:val="single" w:color="auto" w:sz="8" w:space="0"/>
              <w:bottom w:val="single" w:color="auto" w:sz="8" w:space="0"/>
              <w:right w:val="single" w:color="auto" w:sz="8" w:space="0"/>
            </w:tcBorders>
            <w:noWrap w:val="0"/>
            <w:vAlign w:val="center"/>
          </w:tcPr>
          <w:p w14:paraId="77E0A2C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8" w:type="pct"/>
            <w:tcBorders>
              <w:top w:val="single" w:color="auto" w:sz="8" w:space="0"/>
              <w:left w:val="single" w:color="auto" w:sz="8" w:space="0"/>
              <w:bottom w:val="single" w:color="auto" w:sz="8" w:space="0"/>
              <w:right w:val="single" w:color="auto" w:sz="8" w:space="0"/>
            </w:tcBorders>
            <w:noWrap w:val="0"/>
            <w:vAlign w:val="center"/>
          </w:tcPr>
          <w:p w14:paraId="1F0F383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9B62D76">
        <w:tblPrEx>
          <w:tblCellMar>
            <w:top w:w="0" w:type="dxa"/>
            <w:left w:w="108" w:type="dxa"/>
            <w:bottom w:w="0" w:type="dxa"/>
            <w:right w:w="108" w:type="dxa"/>
          </w:tblCellMar>
        </w:tblPrEx>
        <w:trPr>
          <w:trHeight w:val="90" w:hRule="atLeast"/>
        </w:trPr>
        <w:tc>
          <w:tcPr>
            <w:tcW w:w="3822" w:type="pct"/>
            <w:gridSpan w:val="4"/>
            <w:tcBorders>
              <w:top w:val="single" w:color="auto" w:sz="8" w:space="0"/>
              <w:left w:val="single" w:color="auto" w:sz="8" w:space="0"/>
              <w:bottom w:val="single" w:color="auto" w:sz="8" w:space="0"/>
              <w:right w:val="single" w:color="auto" w:sz="8" w:space="0"/>
            </w:tcBorders>
            <w:noWrap w:val="0"/>
            <w:vAlign w:val="center"/>
          </w:tcPr>
          <w:p w14:paraId="4C256B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合计</w:t>
            </w:r>
          </w:p>
        </w:tc>
        <w:tc>
          <w:tcPr>
            <w:tcW w:w="328" w:type="pct"/>
            <w:tcBorders>
              <w:top w:val="single" w:color="auto" w:sz="8" w:space="0"/>
              <w:left w:val="single" w:color="auto" w:sz="8" w:space="0"/>
              <w:bottom w:val="single" w:color="auto" w:sz="8" w:space="0"/>
              <w:right w:val="single" w:color="auto" w:sz="8" w:space="0"/>
            </w:tcBorders>
            <w:noWrap w:val="0"/>
            <w:vAlign w:val="center"/>
          </w:tcPr>
          <w:p w14:paraId="1574F46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100</w:t>
            </w:r>
          </w:p>
        </w:tc>
        <w:tc>
          <w:tcPr>
            <w:tcW w:w="848" w:type="pct"/>
            <w:gridSpan w:val="2"/>
            <w:tcBorders>
              <w:top w:val="single" w:color="auto" w:sz="8" w:space="0"/>
              <w:left w:val="single" w:color="auto" w:sz="8" w:space="0"/>
              <w:bottom w:val="single" w:color="auto" w:sz="8" w:space="0"/>
              <w:right w:val="single" w:color="auto" w:sz="8" w:space="0"/>
            </w:tcBorders>
            <w:noWrap w:val="0"/>
            <w:vAlign w:val="center"/>
          </w:tcPr>
          <w:p w14:paraId="548A47E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扣分：</w:t>
            </w:r>
          </w:p>
        </w:tc>
      </w:tr>
      <w:tr w14:paraId="3A27B4AB">
        <w:tblPrEx>
          <w:tblCellMar>
            <w:top w:w="0" w:type="dxa"/>
            <w:left w:w="108" w:type="dxa"/>
            <w:bottom w:w="0" w:type="dxa"/>
            <w:right w:w="108" w:type="dxa"/>
          </w:tblCellMar>
        </w:tblPrEx>
        <w:trPr>
          <w:trHeight w:val="1248" w:hRule="atLeast"/>
        </w:trPr>
        <w:tc>
          <w:tcPr>
            <w:tcW w:w="5000" w:type="pct"/>
            <w:gridSpan w:val="7"/>
            <w:tcBorders>
              <w:top w:val="single" w:color="auto" w:sz="8" w:space="0"/>
              <w:left w:val="single" w:color="auto" w:sz="8" w:space="0"/>
              <w:bottom w:val="single" w:color="auto" w:sz="8" w:space="0"/>
              <w:right w:val="single" w:color="auto" w:sz="8" w:space="0"/>
            </w:tcBorders>
            <w:noWrap w:val="0"/>
            <w:vAlign w:val="top"/>
          </w:tcPr>
          <w:p w14:paraId="4CC8BF8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确保现场工作人员严格遵守</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的相关纪律和制度，严禁无故脱岗，对日常服务等进行满意度测评打分，并建立台账。每</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rPr>
              <w:t>为一个考核周期，</w:t>
            </w:r>
            <w:r>
              <w:rPr>
                <w:rFonts w:hint="eastAsia" w:asciiTheme="minorEastAsia" w:hAnsiTheme="minorEastAsia" w:eastAsiaTheme="minorEastAsia" w:cstheme="minorEastAsia"/>
                <w:b w:val="0"/>
                <w:bCs w:val="0"/>
                <w:sz w:val="24"/>
                <w:szCs w:val="24"/>
                <w:highlight w:val="none"/>
                <w:lang w:val="en-US" w:eastAsia="zh-CN"/>
              </w:rPr>
              <w:t>按月</w:t>
            </w:r>
            <w:r>
              <w:rPr>
                <w:rFonts w:hint="eastAsia" w:asciiTheme="minorEastAsia" w:hAnsiTheme="minorEastAsia" w:eastAsiaTheme="minorEastAsia" w:cstheme="minorEastAsia"/>
                <w:b w:val="0"/>
                <w:bCs w:val="0"/>
                <w:sz w:val="24"/>
                <w:szCs w:val="24"/>
                <w:highlight w:val="none"/>
              </w:rPr>
              <w:t>结算</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按年支付</w:t>
            </w:r>
            <w:r>
              <w:rPr>
                <w:rFonts w:hint="eastAsia" w:asciiTheme="minorEastAsia" w:hAnsiTheme="minorEastAsia" w:eastAsiaTheme="minorEastAsia" w:cstheme="minorEastAsia"/>
                <w:b w:val="0"/>
                <w:bCs w:val="0"/>
                <w:sz w:val="24"/>
                <w:szCs w:val="24"/>
                <w:highlight w:val="none"/>
              </w:rPr>
              <w:t>。考核得分在90-100分为优，全额支付</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服务费；考核得分在80-89分为良好，扣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应付服务费的5%；考核得分在70-80分为一般，扣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应付服务费的10%；考核得分在70分以下为差，</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将要求</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对相关工作进行限期整改，整改后经随机抽查达到良好情形的，扣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应付服务费的15%；经过限期整改仍达不到良好情形的或拒不整改的，</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有权终止合同，</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相关损失由</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承担。</w:t>
            </w:r>
          </w:p>
        </w:tc>
      </w:tr>
      <w:tr w14:paraId="0173D1C4">
        <w:tblPrEx>
          <w:tblCellMar>
            <w:top w:w="0" w:type="dxa"/>
            <w:left w:w="108" w:type="dxa"/>
            <w:bottom w:w="0" w:type="dxa"/>
            <w:right w:w="108" w:type="dxa"/>
          </w:tblCellMar>
        </w:tblPrEx>
        <w:trPr>
          <w:trHeight w:val="3311" w:hRule="atLeast"/>
        </w:trPr>
        <w:tc>
          <w:tcPr>
            <w:tcW w:w="1666" w:type="pct"/>
            <w:gridSpan w:val="3"/>
            <w:tcBorders>
              <w:top w:val="single" w:color="auto" w:sz="8" w:space="0"/>
              <w:left w:val="single" w:color="auto" w:sz="8" w:space="0"/>
              <w:bottom w:val="single" w:color="auto" w:sz="4" w:space="0"/>
              <w:right w:val="single" w:color="auto" w:sz="8" w:space="0"/>
            </w:tcBorders>
            <w:noWrap w:val="0"/>
            <w:vAlign w:val="top"/>
          </w:tcPr>
          <w:p w14:paraId="2B2A7CC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检查人：</w:t>
            </w:r>
          </w:p>
        </w:tc>
        <w:tc>
          <w:tcPr>
            <w:tcW w:w="3333" w:type="pct"/>
            <w:gridSpan w:val="4"/>
            <w:tcBorders>
              <w:top w:val="single" w:color="auto" w:sz="8" w:space="0"/>
              <w:left w:val="single" w:color="auto" w:sz="8" w:space="0"/>
              <w:bottom w:val="single" w:color="auto" w:sz="4" w:space="0"/>
              <w:right w:val="single" w:color="auto" w:sz="8" w:space="0"/>
            </w:tcBorders>
            <w:noWrap w:val="0"/>
            <w:vAlign w:val="top"/>
          </w:tcPr>
          <w:p w14:paraId="7A86CFD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被考核单位确认签字盖章：</w:t>
            </w:r>
          </w:p>
        </w:tc>
      </w:tr>
    </w:tbl>
    <w:p w14:paraId="2652A8E3">
      <w:pPr>
        <w:keepNext w:val="0"/>
        <w:keepLines w:val="0"/>
        <w:pageBreakBefore w:val="0"/>
        <w:kinsoku/>
        <w:wordWrap/>
        <w:overflowPunct/>
        <w:topLinePunct w:val="0"/>
        <w:bidi w:val="0"/>
        <w:spacing w:line="560" w:lineRule="exact"/>
        <w:ind w:firstLine="480" w:firstLineChars="200"/>
        <w:jc w:val="both"/>
        <w:textAlignment w:val="auto"/>
        <w:rPr>
          <w:rFonts w:hint="eastAsia" w:asciiTheme="minorEastAsia" w:hAnsiTheme="minorEastAsia" w:eastAsiaTheme="minorEastAsia" w:cstheme="minorEastAsia"/>
          <w:sz w:val="24"/>
          <w:szCs w:val="24"/>
        </w:rPr>
      </w:pPr>
    </w:p>
    <w:p w14:paraId="05A66449">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p>
    <w:p w14:paraId="635DF9DA">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br w:type="page"/>
      </w:r>
    </w:p>
    <w:p w14:paraId="65B43266">
      <w:pPr>
        <w:pStyle w:val="2"/>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000000"/>
          <w:sz w:val="36"/>
          <w:szCs w:val="36"/>
        </w:rPr>
      </w:pPr>
      <w:r>
        <w:rPr>
          <w:rFonts w:hint="eastAsia" w:asciiTheme="minorEastAsia" w:hAnsiTheme="minorEastAsia" w:eastAsiaTheme="minorEastAsia" w:cstheme="minorEastAsia"/>
          <w:b w:val="0"/>
          <w:bCs w:val="0"/>
          <w:color w:val="000000"/>
          <w:sz w:val="36"/>
          <w:szCs w:val="36"/>
        </w:rPr>
        <w:t>第三部分</w:t>
      </w:r>
      <w:r>
        <w:rPr>
          <w:rFonts w:hint="eastAsia" w:asciiTheme="minorEastAsia" w:hAnsiTheme="minorEastAsia" w:eastAsiaTheme="minorEastAsia" w:cstheme="minorEastAsia"/>
          <w:b w:val="0"/>
          <w:bCs w:val="0"/>
          <w:color w:val="000000"/>
          <w:sz w:val="36"/>
          <w:szCs w:val="36"/>
          <w:lang w:val="en-US" w:eastAsia="zh-CN"/>
        </w:rPr>
        <w:t xml:space="preserve">  </w:t>
      </w:r>
      <w:r>
        <w:rPr>
          <w:rFonts w:hint="eastAsia" w:asciiTheme="minorEastAsia" w:hAnsiTheme="minorEastAsia" w:eastAsiaTheme="minorEastAsia" w:cstheme="minorEastAsia"/>
          <w:b w:val="0"/>
          <w:bCs w:val="0"/>
          <w:color w:val="000000"/>
          <w:sz w:val="36"/>
          <w:szCs w:val="36"/>
        </w:rPr>
        <w:t>供应商须知</w:t>
      </w:r>
    </w:p>
    <w:p w14:paraId="0BDF8DA0">
      <w:pPr>
        <w:pageBreakBefore w:val="0"/>
        <w:kinsoku/>
        <w:wordWrap/>
        <w:overflowPunct/>
        <w:topLinePunct w:val="0"/>
        <w:bidi w:val="0"/>
        <w:spacing w:line="560" w:lineRule="exact"/>
        <w:jc w:val="center"/>
        <w:textAlignment w:val="auto"/>
        <w:outlineLvl w:val="9"/>
        <w:rPr>
          <w:rFonts w:hint="eastAsia" w:asciiTheme="minorEastAsia" w:hAnsiTheme="minorEastAsia" w:eastAsiaTheme="minorEastAsia" w:cstheme="minorEastAsia"/>
          <w:b w:val="0"/>
          <w:bCs w:val="0"/>
          <w:color w:val="000000"/>
          <w:sz w:val="24"/>
          <w:szCs w:val="24"/>
          <w:lang w:val="en-US" w:eastAsia="zh-CN"/>
        </w:rPr>
      </w:pPr>
    </w:p>
    <w:p w14:paraId="146D8F3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一、总则</w:t>
      </w:r>
    </w:p>
    <w:p w14:paraId="592589A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（一）适用范围</w:t>
      </w:r>
    </w:p>
    <w:p w14:paraId="168C3E1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1、本询比采购文件仅适用于本次投标邀请函中所述张家口市“四馆”安全保卫服务项目的内容。</w:t>
      </w:r>
    </w:p>
    <w:p w14:paraId="5D9815B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2、资金来源：自筹。</w:t>
      </w:r>
    </w:p>
    <w:p w14:paraId="6E98EAF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（二）定义</w:t>
      </w:r>
    </w:p>
    <w:p w14:paraId="739F17C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1、“采购人”系张家口霖辉物业管理集团有限公司。</w:t>
      </w:r>
    </w:p>
    <w:p w14:paraId="37C9BC0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2、“供应商”系指参加本项目的投标单位，也称“投标人”。</w:t>
      </w:r>
    </w:p>
    <w:p w14:paraId="5783A84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3、“货物”系指供应商根据询比采购文件规定须向采购人提供的一切产品及服务。</w:t>
      </w:r>
    </w:p>
    <w:p w14:paraId="13C3B14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4、“签字”系指供应商根据询比采购文件规定，完成的书写事项，即必须用黑色碳素笔或钢笔书写完整姓名，并要求使用墨汁、蓝黑墨水、碳素墨水。不得用签名章、印签章代替。</w:t>
      </w:r>
    </w:p>
    <w:p w14:paraId="670E1EC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5、“公章”系参加本项目的投标人的正式印章，所刊名称，应为法定名称，不得用各式业务章或专用章代替。“加盖公章”系加盖鲜章，不得用各式复印章或扫描章代替。</w:t>
      </w:r>
    </w:p>
    <w:p w14:paraId="481D5E0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6、“复印件”系指相关资料原件的复制品或原件的扫描件。</w:t>
      </w:r>
    </w:p>
    <w:p w14:paraId="20364CC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（三）本次采购方式为询比采购。</w:t>
      </w:r>
    </w:p>
    <w:p w14:paraId="5C432B9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（四）合格的供应商</w:t>
      </w:r>
    </w:p>
    <w:p w14:paraId="66A57B5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1、合格供应商资格要求</w:t>
      </w:r>
    </w:p>
    <w:p w14:paraId="32EACD4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（1）供应商必须符合《中华人民共和国政府采购法》第二十二条的规定；</w:t>
      </w:r>
    </w:p>
    <w:p w14:paraId="0987A27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（2）具有安全保卫专业技术人员、设备、技术等方面相应的服务能力，具有良好的商业信誉；</w:t>
      </w:r>
    </w:p>
    <w:p w14:paraId="3A3F46D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（3）有效的企业营业执照副本、税务登记证副本、组织机构代码证副本（三证合一或五证合一的企业只需提供具有统一社会信用代码独立法人的营业执照副本）；</w:t>
      </w:r>
    </w:p>
    <w:p w14:paraId="36282C8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（4）银行开户许可证（或取消开户许可证的须提供基本存款账户银行备案资料）；</w:t>
      </w:r>
    </w:p>
    <w:p w14:paraId="229D461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（5）供应商参加本次政府采购活动前3年内无重大违法记录和政府采购严重违法失信行为的书面声明；</w:t>
      </w:r>
    </w:p>
    <w:p w14:paraId="7A6D6B5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w:t>
      </w:r>
    </w:p>
    <w:p w14:paraId="737C6C9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（7）单位负责人为同一人或者存在直接控股、管理关系的不同投标人，不得参加同一合同项下的政府采购活动；</w:t>
      </w:r>
    </w:p>
    <w:p w14:paraId="1D0ED0D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（8）本项目不接受联合体投标。</w:t>
      </w:r>
    </w:p>
    <w:p w14:paraId="6554F47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2、知识产权和专利权</w:t>
      </w:r>
    </w:p>
    <w:p w14:paraId="57F2B8E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（1）供应商应保证，采购人在中华人民共和国接受供应商提供的货物时采购人免受第三方提出侵犯其专利权或其他知识产权的起诉；</w:t>
      </w:r>
    </w:p>
    <w:p w14:paraId="4E3F986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（2）投标价应包括所有应支付的对专利权和版权、设计或其他知识产权而需要向其他方支付的版税。</w:t>
      </w:r>
    </w:p>
    <w:p w14:paraId="38315E0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供应商知悉供应商将被视为已合理地尽可能地对所有影响项目的事项，包括任何与项目和采购人需求所列明的有关的特殊困难有了充分的了解。供应商必须对询比采购文件的商务条款逐项做出响应，否则按无效标书处理。</w:t>
      </w:r>
    </w:p>
    <w:p w14:paraId="59B9EC8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kern w:val="2"/>
          <w:sz w:val="24"/>
          <w:szCs w:val="24"/>
          <w:lang w:val="en-US" w:eastAsia="zh-CN" w:bidi="ar-SA"/>
        </w:rPr>
        <w:t>4、供应商应遵守《中华人民共和国政府采购法》、《中华人民共</w:t>
      </w:r>
      <w:r>
        <w:rPr>
          <w:rFonts w:hint="eastAsia" w:asciiTheme="minorEastAsia" w:hAnsiTheme="minorEastAsia" w:eastAsiaTheme="minorEastAsia" w:cstheme="minorEastAsia"/>
          <w:i w:val="0"/>
          <w:iCs w:val="0"/>
          <w:caps w:val="0"/>
          <w:color w:val="1F2329"/>
          <w:spacing w:val="0"/>
          <w:sz w:val="24"/>
          <w:szCs w:val="24"/>
          <w:shd w:val="clear" w:fill="FFFFFF"/>
        </w:rPr>
        <w:t>和国政府采购法实施条例》及其他相关法律、法规。</w:t>
      </w:r>
    </w:p>
    <w:p w14:paraId="05BC425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5、供应商必须向招标人购买询比采购文件并登记，未向招标人购买询比采购文件并登记的潜在供应商均无资格参加本次投标。</w:t>
      </w:r>
    </w:p>
    <w:p w14:paraId="78DBD51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（五）投标费用</w:t>
      </w:r>
    </w:p>
    <w:p w14:paraId="1C2A06A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1、供应商应自行承担所有与编制和提交询比采购投标文件有关的全部费用，不论投标结果如何，招标人和采购人在任何情况下均无义务和责任承担这些费用。</w:t>
      </w:r>
    </w:p>
    <w:p w14:paraId="2DD6BE2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2、踏勘现场</w:t>
      </w:r>
    </w:p>
    <w:p w14:paraId="361B57B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采购人将不组织供应商进行踏勘现场，供应商如认为有必要可自行前往张家口市经开区纬二路长城西大街与中兴北路交叉处张家口市“四馆”项目所在地对项目现场及周围环境进行踏勘，以便获取自己负责的有关编制询比采购投标文件和签署合同所需的所有资料。踏勘现场所发生的费用由供应商自己承担。</w:t>
      </w:r>
    </w:p>
    <w:p w14:paraId="3738BEC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（2）采购人向供应商提供的有关项目的资料和数据，是采购人现有的能使供应商利用的资料。采购人对供应商由此而做出的推论、理解和结论概不负责。</w:t>
      </w:r>
    </w:p>
    <w:p w14:paraId="08E26A4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供应商及其人员经过采购人的允许，可为踏勘目的进入采购人的项目现场，但供应商及其人员不得因此使采购人及其人员承担有关的责任和蒙受损失。供应商并应对由此次踏勘现场而造成的死亡、人身伤害、财产损失、损害以及任何其它损失、损害和引起的费用和开支承担责任。</w:t>
      </w:r>
    </w:p>
    <w:p w14:paraId="443542DD">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二、询比采购文件</w:t>
      </w:r>
    </w:p>
    <w:p w14:paraId="55C7CED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（一）询比采购文件的构成（询比采购文件除以下内容外，采购人在招标期间发出的答疑纪要和其他补充修改函件，均是询比采购文件的组成部分，对投标供应商起约束作用）</w:t>
      </w:r>
    </w:p>
    <w:p w14:paraId="70EC858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1、投标邀请函</w:t>
      </w:r>
    </w:p>
    <w:p w14:paraId="4A9CDF9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2、招标项目内容及要求</w:t>
      </w:r>
    </w:p>
    <w:p w14:paraId="439111E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3、供应商须知</w:t>
      </w:r>
    </w:p>
    <w:p w14:paraId="0B878E4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4、合同范本</w:t>
      </w:r>
    </w:p>
    <w:p w14:paraId="7BB6940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5、询比采购投标文件格式</w:t>
      </w:r>
    </w:p>
    <w:p w14:paraId="21B3563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供应商同时应认真审阅询比采购文件中所有的事项、格式、条款和规范要求等，如果供应商的询比采购投标文件没有按照询比采购文件要求提交全部资料或者没有对询比采购文件做出实质性响应，其责任与风险应由投标供应商自行承担。并根据有关条款规定，其投标有可能被拒绝。</w:t>
      </w:r>
    </w:p>
    <w:p w14:paraId="2BDA00E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（三）询比采购文件的澄清</w:t>
      </w:r>
    </w:p>
    <w:p w14:paraId="7EE1846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1、供应商获取询比采购文件后，应仔细检查询比采购文件的所有内容，如有残缺应在获取询比采购文件后3日内向招标人提出，否则，由此引起的投标损失自负。</w:t>
      </w:r>
    </w:p>
    <w:p w14:paraId="49401AF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2、供应商在收到询比采购文件后，对询比采购文件任何部分若有任何疑问，任何要求澄清询比采购文件的供应商，均</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应在领到询比采购文件</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3</w:t>
      </w:r>
      <w:r>
        <w:rPr>
          <w:rFonts w:hint="eastAsia" w:asciiTheme="minorEastAsia" w:hAnsiTheme="minorEastAsia" w:eastAsiaTheme="minorEastAsia" w:cstheme="minorEastAsia"/>
          <w:i w:val="0"/>
          <w:iCs w:val="0"/>
          <w:caps w:val="0"/>
          <w:color w:val="1F2329"/>
          <w:spacing w:val="0"/>
          <w:sz w:val="24"/>
          <w:szCs w:val="24"/>
          <w:highlight w:val="none"/>
          <w:shd w:val="clear" w:fill="FFFFFF"/>
        </w:rPr>
        <w:t>个工作</w:t>
      </w:r>
      <w:r>
        <w:rPr>
          <w:rFonts w:hint="eastAsia" w:asciiTheme="minorEastAsia" w:hAnsiTheme="minorEastAsia" w:eastAsiaTheme="minorEastAsia" w:cstheme="minorEastAsia"/>
          <w:i w:val="0"/>
          <w:iCs w:val="0"/>
          <w:caps w:val="0"/>
          <w:color w:val="1F2329"/>
          <w:spacing w:val="0"/>
          <w:sz w:val="24"/>
          <w:szCs w:val="24"/>
          <w:shd w:val="clear" w:fill="FFFFFF"/>
        </w:rPr>
        <w:t>日内按投标邀请函中载明的地址以书面形式通知招标人。不论是采购人根据需要主动对询比采购文件进行必要的澄清或是根据供应商的要求对询比采购文件做出澄清，招标人将视情况，确定采用适当方式予以澄清或答复，并在认为必要时，将书面答复发给已购买询比采购文件的所有供应商。澄清记录作为询比采购文件的组成部分，对供应商起约束作用。3、供应商在规定时间未提交疑问的，视作默认对本次招标过程中询比采购文件或清单无疑问，采购人对其提出的问题可以不作解释。</w:t>
      </w:r>
    </w:p>
    <w:p w14:paraId="74C983E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（四）询比采购文件的修改</w:t>
      </w:r>
    </w:p>
    <w:p w14:paraId="6FD49AB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1、在投标</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截止日期</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3</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日之前的任何时候，招标人可主动或在解答供应商提出的澄清问题时对询比采购文件以补遗书的形式进行修改。</w:t>
      </w:r>
    </w:p>
    <w:p w14:paraId="750D8F9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2、询比采购文件的修改将以书面形式通知所有购买询比采购文件的供应商，并对其具有约束力。供应商在接到上述通知后，应立即向招标人回函确认。</w:t>
      </w:r>
    </w:p>
    <w:p w14:paraId="4138D0D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询比采购文件、询比采购文件澄清（答疑）记录、询比采购文件修改补充通知内容均以书面明确的内容为准。当询比采购文件、修改补充通知、澄清（答疑）记录内容相互矛盾时，以最后发出的通知（或纪要）或修改文件为准。</w:t>
      </w:r>
    </w:p>
    <w:p w14:paraId="6AB2D65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4、为使供应商编写询比采购投标文件时有充分时间对询比采购文件的修改部分进行研究，招标人可以酌情延后投标截止时间。</w:t>
      </w:r>
    </w:p>
    <w:p w14:paraId="2864FF3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三、询比采购投标文件的编制</w:t>
      </w:r>
    </w:p>
    <w:p w14:paraId="7E050AC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供应商应认真审阅本询比采购文件，并在接受全部条款内容后，方可参加投标。投标单位由于对询比采购文件的任何误解和忽略造成损失的责任，由供应商自己负责。供应商的询比采购投标文件应包括下列内容：</w:t>
      </w:r>
    </w:p>
    <w:p w14:paraId="00ADA65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（一）询比采购投标文件的语言供应商提交的询比采购投标文件以及与招标人和采购人就有关投标的所有来往函件均应使用简体中文。</w:t>
      </w:r>
    </w:p>
    <w:p w14:paraId="5E7C817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投标货币与计量单位本次投标用人民币报价。参加投标的企业，可根据本实际情况，充分考虑项目经营期间可能会遇到的市场风险等因素，进行报价参加投标。投标报价即为该项目的最终报价。询比采购文件中的所有计量单位和规格说明都是用中华人民共和国法定计量单位（国际单位制和国家选定的其他计量单位）表示。</w:t>
      </w:r>
    </w:p>
    <w:p w14:paraId="650313E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报价原则：</w:t>
      </w:r>
    </w:p>
    <w:p w14:paraId="313BDCD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1、</w:t>
      </w:r>
      <w:r>
        <w:rPr>
          <w:rFonts w:hint="eastAsia" w:asciiTheme="minorEastAsia" w:hAnsiTheme="minorEastAsia" w:eastAsiaTheme="minorEastAsia" w:cstheme="minorEastAsia"/>
          <w:i w:val="0"/>
          <w:iCs w:val="0"/>
          <w:caps w:val="0"/>
          <w:color w:val="1F2329"/>
          <w:spacing w:val="0"/>
          <w:sz w:val="24"/>
          <w:szCs w:val="24"/>
          <w:shd w:val="clear" w:fill="FFFFFF"/>
        </w:rPr>
        <w:t>供应商必须按本询比采购文件指定格式正确填写各种价格单；</w:t>
      </w:r>
    </w:p>
    <w:p w14:paraId="339279E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2、询比采购投标文件报价出现前后不一致的，按照下列规定修正：</w:t>
      </w:r>
    </w:p>
    <w:p w14:paraId="426E03E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（1）询比采购投标文件中报价表内容与询比采购投标文件中相应内容不一致的，以报价表为准;</w:t>
      </w:r>
    </w:p>
    <w:p w14:paraId="613CDEC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（2）大写金额和小写金额不一致的，以大写金额为准;</w:t>
      </w:r>
    </w:p>
    <w:p w14:paraId="32CB93B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（3）单价金额小数点或者百分比有明显错位的，以报价表的总价为准，并修改单价;</w:t>
      </w:r>
    </w:p>
    <w:p w14:paraId="4EBCCEC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F2329"/>
          <w:spacing w:val="0"/>
          <w:sz w:val="24"/>
          <w:szCs w:val="24"/>
          <w:shd w:val="clear" w:fill="FFFFFF"/>
        </w:rPr>
        <w:t>(4）总价金额与按单价汇总金额不一致的，以单价金额计算结果为准。同时出现两种以上不一致的，按照前款规定的顺序修正。修正后的报价由投标人以书面形式，并加盖公章，或者由法定代表人或其授权的代表签字确认后产生约束力，投标人不确</w:t>
      </w: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认的，其投标无效。</w:t>
      </w:r>
    </w:p>
    <w:p w14:paraId="03C794E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3、所有报价均为交付采购人使用前（包括伴随服务）的价格。乙方承担的对讲机、安保服装、照明灯、应急包等材料费。</w:t>
      </w:r>
    </w:p>
    <w:p w14:paraId="6FF95D5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（三）询比采购投标文件的构成供应商编写的询比采购投标文件应包括下列内容：</w:t>
      </w:r>
    </w:p>
    <w:p w14:paraId="20FF011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1、供应商诚信承诺书；</w:t>
      </w:r>
    </w:p>
    <w:p w14:paraId="29FE6CF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2、投标函；</w:t>
      </w:r>
    </w:p>
    <w:p w14:paraId="405F035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3、投标报价表；</w:t>
      </w:r>
    </w:p>
    <w:p w14:paraId="43673C7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4、服务响应偏离表；</w:t>
      </w:r>
    </w:p>
    <w:p w14:paraId="13258F8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5、供应商基本情况表；</w:t>
      </w:r>
    </w:p>
    <w:p w14:paraId="61117DD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6、项目实施方案；</w:t>
      </w:r>
    </w:p>
    <w:p w14:paraId="72DADAA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7、售后服务承诺书；</w:t>
      </w:r>
    </w:p>
    <w:p w14:paraId="27EFA54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8、其它（如有时）；</w:t>
      </w:r>
    </w:p>
    <w:p w14:paraId="4B1467A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9、供应商资格证明文件：</w:t>
      </w:r>
    </w:p>
    <w:p w14:paraId="062C7D2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A．企业营业执照副本、税务登记证副本(不需缴税的单位请提供税务部门出具的证明材料)、组织机构代码证副本（三证合一或五证合一的单位提供新版营业执照副本即可）复印件；</w:t>
      </w:r>
    </w:p>
    <w:p w14:paraId="2A87D1C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lang w:eastAsia="zh-CN"/>
        </w:rPr>
      </w:pPr>
      <w:r>
        <w:rPr>
          <w:rFonts w:hint="eastAsia" w:asciiTheme="minorEastAsia" w:hAnsiTheme="minorEastAsia" w:eastAsiaTheme="minorEastAsia" w:cstheme="minorEastAsia"/>
          <w:i w:val="0"/>
          <w:iCs w:val="0"/>
          <w:caps w:val="0"/>
          <w:color w:val="1F2329"/>
          <w:spacing w:val="0"/>
          <w:sz w:val="24"/>
          <w:szCs w:val="24"/>
          <w:shd w:val="clear" w:fill="FFFFFF"/>
        </w:rPr>
        <w:t>B．银行开户许可证（或取消开户许可证的须提供基本存款账户银行备案资料）；C．法定代表人身份证明书原件和授权委托书原件（法定代表人参加投标的，不需要提供授权委托书原件）；以上资格证明文件的复印件要求真实、准确、清晰并加盖本单位公章</w:t>
      </w:r>
      <w:r>
        <w:rPr>
          <w:rFonts w:hint="eastAsia" w:asciiTheme="minorEastAsia" w:hAnsiTheme="minorEastAsia" w:eastAsiaTheme="minorEastAsia" w:cstheme="minorEastAsia"/>
          <w:i w:val="0"/>
          <w:iCs w:val="0"/>
          <w:caps w:val="0"/>
          <w:color w:val="1F2329"/>
          <w:spacing w:val="0"/>
          <w:sz w:val="24"/>
          <w:szCs w:val="24"/>
          <w:shd w:val="clear" w:fill="FFFFFF"/>
          <w:lang w:eastAsia="zh-CN"/>
        </w:rPr>
        <w:t>。</w:t>
      </w:r>
    </w:p>
    <w:p w14:paraId="17C8637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10、供应商参加本次采购活动前3年内无重大违法记录和政府采购严重违法失信行为的书面声明；</w:t>
      </w:r>
    </w:p>
    <w:p w14:paraId="32DBFF8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11、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w:t>
      </w:r>
    </w:p>
    <w:p w14:paraId="6E2DF91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（四）询比采购投标文件的式样和签署供应商必须严格按照询比采购文件的规定和格式编制询比采购投标文件，并逐项逐条回答询比采购文件所要求的内容，可以增加文字说明和描述，否则将视为无效投标。</w:t>
      </w:r>
    </w:p>
    <w:p w14:paraId="3F5A4F8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询比采购投标文件必须采用A4纸胶装成册，一律不得采用活页装订,必须胶装；询比采购投标文件必须编制目录，每一页均需编辑页号（封面、目录、封底、分隔页可以不编辑页号），中间不得多页、少页、空页。</w:t>
      </w:r>
    </w:p>
    <w:p w14:paraId="146FD37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2、询比采购投标文件正本应当按照询比采购文件规定格式盖章、签字。</w:t>
      </w:r>
    </w:p>
    <w:p w14:paraId="00768F1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3、询比采购投标文件共三套，其中纸质正本一套，副本一套，电子版一套（提供U盘）；询比采购投标文件的副本可采用正本的复印件，副本内容与正本不一致时以正本为准。</w:t>
      </w:r>
    </w:p>
    <w:p w14:paraId="5757738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4、询比采购投标文件应尽量避免涂改、行间插字或删除。如果出现上述情况，修改之处应加盖投标供应商单位公章并由投标供应商的法定代表人或其委托代理人签字确认。</w:t>
      </w:r>
    </w:p>
    <w:p w14:paraId="473EDF4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（五）询比采购投标文件有效期询比采购投标文件的有效期为60日。在特殊情况下，招标人可与供应商协商延长询比采购投标文件的有效期。</w:t>
      </w:r>
    </w:p>
    <w:p w14:paraId="4CB553C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四、询比采购投标文件的递交</w:t>
      </w:r>
    </w:p>
    <w:p w14:paraId="5D76889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（一）询比采购投标文件的密封和标记供应商应将纸质询比采购投标文件正本（壹</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套）和副本（壹套）胶装成</w:t>
      </w:r>
      <w:r>
        <w:rPr>
          <w:rFonts w:hint="eastAsia" w:asciiTheme="minorEastAsia" w:hAnsiTheme="minorEastAsia" w:eastAsiaTheme="minorEastAsia" w:cstheme="minorEastAsia"/>
          <w:i w:val="0"/>
          <w:iCs w:val="0"/>
          <w:caps w:val="0"/>
          <w:color w:val="1F2329"/>
          <w:spacing w:val="0"/>
          <w:sz w:val="24"/>
          <w:szCs w:val="24"/>
          <w:shd w:val="clear" w:fill="FFFFFF"/>
        </w:rPr>
        <w:t>册并与电子版询比采购投标文件（U盘外表面应当清楚标记单位名称）密封在同一个密封袋中（格式见询比采购文件第五部分）。将文件密封袋封面（格式见询比采购文件第五部分）粘贴在文件袋外，封贴处加盖清晰的公章及法人印章。如果未按上述规定进行密封和标记，招标人对询比采购投标文件不予接收，而且对询比采购投标文件的误投或提前拆封不负责任。</w:t>
      </w:r>
    </w:p>
    <w:p w14:paraId="731A92B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（二）询比采购投标文件有下列情形之一的，招标人不予受理：</w:t>
      </w:r>
    </w:p>
    <w:p w14:paraId="2E1BB21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1、超过投标截止时间送达或未送达指定地点的询比采购投标文件；</w:t>
      </w:r>
    </w:p>
    <w:p w14:paraId="2A6E0C0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2、未按询比采购文件要求予以标志和密封的询比采购投标文件。</w:t>
      </w:r>
    </w:p>
    <w:p w14:paraId="0C9AE82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五、开标与评标</w:t>
      </w:r>
    </w:p>
    <w:p w14:paraId="6E493C4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（一）开标</w:t>
      </w:r>
    </w:p>
    <w:p w14:paraId="4960EA5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1、招标人将在招标公告规定的时间和地点进行开标。投标人的法定代表人或其授权委托人应单独携带法定代表人身份证明书原件、授权委托书原件（法定代表人参加的不需提供授权书）及本人身份证原件签到</w:t>
      </w:r>
      <w:r>
        <w:rPr>
          <w:rFonts w:hint="eastAsia" w:asciiTheme="minorEastAsia" w:hAnsiTheme="minorEastAsia" w:eastAsiaTheme="minorEastAsia" w:cstheme="minorEastAsia"/>
          <w:i w:val="0"/>
          <w:iCs w:val="0"/>
          <w:caps w:val="0"/>
          <w:color w:val="1F2329"/>
          <w:spacing w:val="0"/>
          <w:sz w:val="24"/>
          <w:szCs w:val="24"/>
          <w:highlight w:val="none"/>
          <w:shd w:val="clear" w:fill="FFFFFF"/>
        </w:rPr>
        <w:t>以证明出席，否则</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采购人</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对其递</w:t>
      </w:r>
      <w:r>
        <w:rPr>
          <w:rFonts w:hint="eastAsia" w:asciiTheme="minorEastAsia" w:hAnsiTheme="minorEastAsia" w:eastAsiaTheme="minorEastAsia" w:cstheme="minorEastAsia"/>
          <w:i w:val="0"/>
          <w:iCs w:val="0"/>
          <w:caps w:val="0"/>
          <w:color w:val="1F2329"/>
          <w:spacing w:val="0"/>
          <w:sz w:val="24"/>
          <w:szCs w:val="24"/>
          <w:shd w:val="clear" w:fill="FFFFFF"/>
        </w:rPr>
        <w:t>交的询比采购投标文件不予接收。</w:t>
      </w:r>
    </w:p>
    <w:p w14:paraId="7D8FFAF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2、投标人不足3家的，不得开标。</w:t>
      </w:r>
    </w:p>
    <w:p w14:paraId="299CDC1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3、开标时，招标人工作人员当众拆封询比采购投标文件，宣布投标人名称、投标价格和询比采购文件规定的需要宣布的其他内容；</w:t>
      </w:r>
    </w:p>
    <w:p w14:paraId="42D3FF7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4、招标人做开标记录；</w:t>
      </w:r>
    </w:p>
    <w:p w14:paraId="2DD6771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5、采购人根据招标项目的特点依法组建评标委员会，经评标委员会成员推举产生评标委员会主任；</w:t>
      </w:r>
    </w:p>
    <w:p w14:paraId="6F960B5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6、评标纪律、评标原则和标准将在评标会议上宣布。</w:t>
      </w:r>
    </w:p>
    <w:p w14:paraId="72C6C1E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（二）评标</w:t>
      </w:r>
    </w:p>
    <w:p w14:paraId="1F72775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1、本招标项目的评标依据为询比采购文件和询比采购投标文件；</w:t>
      </w:r>
    </w:p>
    <w:p w14:paraId="6BC8698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2、供应商在评标过程中，所进行的力图影响评标结果、不符合评标办法的活动，将导致其被取消中标资格；</w:t>
      </w:r>
    </w:p>
    <w:p w14:paraId="2ACEC67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3、在评标过程中，评标委员会发现供应商以他人的名义投标、串通投标或者以其它弄虚作假方式投标的,该投标将作无效标处理；</w:t>
      </w:r>
    </w:p>
    <w:p w14:paraId="702D5A5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DD36B8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5、采购人按评审报告确定的中标候选人的顺序确定中标人；</w:t>
      </w:r>
    </w:p>
    <w:p w14:paraId="2D5180C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w:t>
      </w:r>
      <w:r>
        <w:rPr>
          <w:rFonts w:hint="eastAsia" w:asciiTheme="minorEastAsia" w:hAnsiTheme="minorEastAsia" w:eastAsiaTheme="minorEastAsia" w:cstheme="minorEastAsia"/>
          <w:i w:val="0"/>
          <w:iCs w:val="0"/>
          <w:caps w:val="0"/>
          <w:color w:val="1F2329"/>
          <w:spacing w:val="0"/>
          <w:sz w:val="24"/>
          <w:szCs w:val="24"/>
          <w:highlight w:val="none"/>
          <w:shd w:val="clear" w:fill="FFFFFF"/>
        </w:rPr>
        <w:t>评标委员会5人组成，评标委员会组成人员为：项目业主单位主要负责人1人，分管项目副总1人，</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分管工程维修副总</w:t>
      </w:r>
      <w:r>
        <w:rPr>
          <w:rFonts w:hint="eastAsia" w:asciiTheme="minorEastAsia" w:hAnsiTheme="minorEastAsia" w:eastAsiaTheme="minorEastAsia" w:cstheme="minorEastAsia"/>
          <w:i w:val="0"/>
          <w:iCs w:val="0"/>
          <w:caps w:val="0"/>
          <w:color w:val="1F2329"/>
          <w:spacing w:val="0"/>
          <w:sz w:val="24"/>
          <w:szCs w:val="24"/>
          <w:highlight w:val="none"/>
          <w:shd w:val="clear" w:fill="FFFFFF"/>
        </w:rPr>
        <w:t>1人，分管部门负责人1人</w:t>
      </w:r>
      <w:r>
        <w:rPr>
          <w:rFonts w:hint="eastAsia" w:asciiTheme="minorEastAsia" w:hAnsiTheme="minorEastAsia" w:eastAsiaTheme="minorEastAsia" w:cstheme="minorEastAsia"/>
          <w:i w:val="0"/>
          <w:iCs w:val="0"/>
          <w:caps w:val="0"/>
          <w:color w:val="1F2329"/>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技术负责人1人。</w:t>
      </w:r>
    </w:p>
    <w:p w14:paraId="2E13831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7、评审纪律、评审原则和标准将在评审会议上宣布；</w:t>
      </w:r>
    </w:p>
    <w:p w14:paraId="44C31B0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8、评标委员会成员应当遵守评审工作纪律，不得泄露评审文件、评审情况和评审中获</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悉的商业秘密；评标委员会在评审过程中发现投标人有行贿、提供虚假材料或者串通等违法行为的，应当及时向</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建发纪检监察</w:t>
      </w:r>
      <w:r>
        <w:rPr>
          <w:rFonts w:hint="eastAsia" w:asciiTheme="minorEastAsia" w:hAnsiTheme="minorEastAsia" w:eastAsiaTheme="minorEastAsia" w:cstheme="minorEastAsia"/>
          <w:i w:val="0"/>
          <w:iCs w:val="0"/>
          <w:caps w:val="0"/>
          <w:color w:val="1F2329"/>
          <w:spacing w:val="0"/>
          <w:sz w:val="24"/>
          <w:szCs w:val="24"/>
          <w:highlight w:val="none"/>
          <w:shd w:val="clear" w:fill="FFFFFF"/>
        </w:rPr>
        <w:t>部门报告。</w:t>
      </w:r>
    </w:p>
    <w:p w14:paraId="5536FA6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9、评标委员会成员应当按照客观、公正、审慎的原则，根据询比采购文件规定的评审程序、评审方法和评审标准进行独立评审。未实质性响应询比采购文件的询比采购投标文件按无效投标处理，评标委员会应当告知提交询比采购投标文件的投标人；</w:t>
      </w:r>
    </w:p>
    <w:p w14:paraId="636E439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10、评标委员会成员应当在评审报告上签字，对自己的评审意见承担法律责任。对评审报告有异议的，应当在评审报告上签署不同意见，并说明理由，否则视为同意评审报告；</w:t>
      </w:r>
    </w:p>
    <w:p w14:paraId="5890531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11、询比采购文件内容违反国家有关强制性规定的，评标委员会应当停止评审并向采购人或者采购招标人说明情况；</w:t>
      </w:r>
    </w:p>
    <w:p w14:paraId="08ED395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12、采购人、采购招标人不得向评标委员会的评审专家作倾向性、误导性的解释或者说明；</w:t>
      </w:r>
    </w:p>
    <w:p w14:paraId="7AA0106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13、政府采购评审专家应当配合采购人或者采购招标人答复投标人的询问和质疑。</w:t>
      </w:r>
    </w:p>
    <w:p w14:paraId="1BFCAF4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（三）询比采购投标文件的审查</w:t>
      </w:r>
    </w:p>
    <w:p w14:paraId="4ED0C0D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资格审查采购人或者采购招标人应当依法对投标人询比采购投标文件中的资格证明等进行审查，以确定投标人是否具备投标资格。不满足“资格性审查响应对照表”其中一项的，其递交的询比采购投标文件视为无效，合格的询比采购投标文件将进入下一步评审，合格投标人不足3家的，不进入评标环节。</w:t>
      </w:r>
    </w:p>
    <w:p w14:paraId="17818A7B">
      <w:pPr>
        <w:keepNext w:val="0"/>
        <w:keepLines w:val="0"/>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资格性审查响应对照表</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509"/>
        <w:gridCol w:w="2115"/>
        <w:gridCol w:w="746"/>
      </w:tblGrid>
      <w:tr w14:paraId="5C93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7C675FF8">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796B17BE">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资格审查标准</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0720C179">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合格标准</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54F80E9C">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备注</w:t>
            </w:r>
          </w:p>
        </w:tc>
      </w:tr>
      <w:tr w14:paraId="1C39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BB9E280">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72284FB">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有效的企业营业执照副本、税务登记证副本、组织机构代码证副本（三证合一或五证合一的企业只需提供具有统一社会信用代码独立法人的营业执照副本）</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672BC1A4">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7C757BD3">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37E2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789DE28">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01B4A751">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银行开户许可证（或取消开户许可证的须提供基本存款账户银行备案资料）</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395DAB9C">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498AADEE">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142C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10ED449">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3</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60DE0EC">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法定代表人身份证明书原件和授权委托书原件（法定代表人参加投标的，不需要提供授权委托书原件）</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538773A1">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741728B6">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0D82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EE4D10C">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4</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3F2DC350">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参加政府采购前3年内无重大违法记录书面声明</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43A2EAFA">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53287BB2">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6D8A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DF516AD">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5</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94D3E33">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114D7E9F">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由采购人或者采购招标人将对投标人信用记录进行现场查询和甄别</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293485CD">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061D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32DFF45">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6</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F0DB427">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kern w:val="0"/>
                <w:sz w:val="24"/>
                <w:szCs w:val="24"/>
                <w:lang w:bidi="ar"/>
              </w:rPr>
              <w:t>供应商诚信承诺书</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48785DCC">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kern w:val="0"/>
                <w:sz w:val="24"/>
                <w:szCs w:val="24"/>
                <w:lang w:bidi="ar"/>
              </w:rPr>
              <w:t>按照询比采购文件格式提供并加盖单位公章，经法定代表人签字或授权委托人签字</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07DCCEFF">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bl>
    <w:p w14:paraId="2961E9D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2、</w:t>
      </w:r>
      <w:r>
        <w:rPr>
          <w:rFonts w:hint="eastAsia" w:asciiTheme="minorEastAsia" w:hAnsiTheme="minorEastAsia" w:eastAsiaTheme="minorEastAsia" w:cstheme="minorEastAsia"/>
          <w:i w:val="0"/>
          <w:iCs w:val="0"/>
          <w:caps w:val="0"/>
          <w:color w:val="1F2329"/>
          <w:spacing w:val="0"/>
          <w:sz w:val="24"/>
          <w:szCs w:val="24"/>
          <w:shd w:val="clear" w:fill="FFFFFF"/>
        </w:rPr>
        <w:t>符合性审查</w:t>
      </w:r>
    </w:p>
    <w:p w14:paraId="0510961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评标委员会应当对符合资格的投标人的询比采购投标文件进行符合性审查，以确定其是否满足询比采购文件的实质性要求。</w:t>
      </w:r>
    </w:p>
    <w:p w14:paraId="6309997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审查所有询比采购投标文件是否实质上响应并符合询比采购文件要求的全部条款、条件和规格。评标委员会决定询比采购投标文件的实质响应性只根据询比采购投标文件本身的内容，而不寻求外部的证据。如果询比采购投标文件实质上没有响应询比采购文件的要求，评标委员会将予以拒绝，投标人不得通过修正或撤销不合要求的偏离或保留从而使其询比采购投标文件成为实质上的询比采购投标文件。</w:t>
      </w:r>
    </w:p>
    <w:p w14:paraId="545B91C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对于询比采购投标文件中含义不明确、同类问题表述不一致或者有明显文字和计算错误的内容，评标委员会应当以书面形式要求投标人作出必要的澄清、说明或者补正。</w:t>
      </w:r>
    </w:p>
    <w:p w14:paraId="33FA9C6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投标人的澄清、说明或者补正应当采用书面形式，并由法定代表人或其授权的代表签字。投标人的澄清、说明或者补正不得超出询比采购投标文件的范围或者改变询比采购投标文件的实质性内容。</w:t>
      </w:r>
    </w:p>
    <w:p w14:paraId="2A53EB5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参与资格后审的投标人的询比采购投标文件按下表中所要求的资料进行符合性审查。不满足“符合性审查响应对照表”其中一项的或询比采购投标文件中含有采购人不能接受的附加条件的，由评标委员会评审不予通过，合格的询比采购投标文件将进入下一步评审：</w:t>
      </w:r>
    </w:p>
    <w:p w14:paraId="259FFAF8">
      <w:pPr>
        <w:keepNext w:val="0"/>
        <w:keepLines w:val="0"/>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符合性审查响应对照表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514"/>
        <w:gridCol w:w="2452"/>
        <w:gridCol w:w="4496"/>
      </w:tblGrid>
      <w:tr w14:paraId="5D4C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1606D525">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118703F7">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资格评审标准</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5AF8F9EC">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合格标准</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41D26FC0">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备注</w:t>
            </w:r>
          </w:p>
        </w:tc>
      </w:tr>
      <w:tr w14:paraId="7390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135C5EC7">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3DF2286E">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投标函</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4290D547">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按照询比采购文件格式提供并加盖单位公章，经法定代表人签字或授权委托人签字</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47AA93CE">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7103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4C9BE5A9">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1AC7BA0D">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投标报价表</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7F211E61">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投标报价小于等于采购预算</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487BD08B">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green"/>
              </w:rPr>
            </w:pPr>
            <w:r>
              <w:rPr>
                <w:rFonts w:hint="eastAsia" w:asciiTheme="minorEastAsia" w:hAnsiTheme="minorEastAsia" w:eastAsiaTheme="minorEastAsia" w:cstheme="minorEastAsia"/>
                <w:kern w:val="0"/>
                <w:sz w:val="24"/>
                <w:szCs w:val="24"/>
                <w:lang w:bidi="a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32F7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2E40AD00">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40C2F3F7">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询比采购投标文件的式样和签署</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7DC940BB">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符合询比采购文件中询比采购投标文件的式样和签署要求</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035746E3">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1417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5981D157">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0E7D75DE">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技术参数响应及偏离表</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6A7E4CC8">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按询比采购文件要求格式提供，投标人技术指标、参数满足询比采购文件中货物技术规格及要求规定的相应技术指标、参数的</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1AAEC7EB">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756E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0A36C454">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643DB430">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询比采购投标文件中提供的其他资料”和货物技术规格及要求、商务条款</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16F2EAF1">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满足或优于询比采购文件相关要求</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3EAAE10D">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2B01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6B013763">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61F88AEA">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法律、法规和询比采购文件规定的其他无效情形的</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0809C015">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满足或优于法律、法规和询比采购文件相关要求</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2D7D876F">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bl>
    <w:p w14:paraId="4B308A4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（四）</w:t>
      </w:r>
      <w:r>
        <w:rPr>
          <w:rFonts w:hint="eastAsia" w:asciiTheme="minorEastAsia" w:hAnsiTheme="minorEastAsia" w:eastAsiaTheme="minorEastAsia" w:cstheme="minorEastAsia"/>
          <w:i w:val="0"/>
          <w:iCs w:val="0"/>
          <w:caps w:val="0"/>
          <w:color w:val="1F2329"/>
          <w:spacing w:val="0"/>
          <w:sz w:val="24"/>
          <w:szCs w:val="24"/>
          <w:shd w:val="clear" w:fill="FFFFFF"/>
        </w:rPr>
        <w:t>有下列情形之一的，视为投标人串通投标，其投标无效：</w:t>
      </w:r>
    </w:p>
    <w:p w14:paraId="7CD4E26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1、不同投标人的询比采购投标文件由同一单位或者个人编制；</w:t>
      </w:r>
    </w:p>
    <w:p w14:paraId="759DDE4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2、不同投标人委托同一单位或者个人办理投标事宜；</w:t>
      </w:r>
    </w:p>
    <w:p w14:paraId="7435390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3、不同投标人的询比采购投标文件载明的项目管理成员或者联系人员为同一人；</w:t>
      </w:r>
    </w:p>
    <w:p w14:paraId="70A2C65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4、不同投标人的询比采购投标文件异常一致或者投标报价呈规律性差异；</w:t>
      </w:r>
    </w:p>
    <w:p w14:paraId="51237DC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5、不同投标人的询比采购投标文件相互混装；</w:t>
      </w:r>
    </w:p>
    <w:p w14:paraId="2DB7B6A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6、不同投标人的投标保证金从同一单位或者个人的账户转出。</w:t>
      </w:r>
    </w:p>
    <w:p w14:paraId="018731D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255E8A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六、评分方法—综合评分法</w:t>
      </w:r>
    </w:p>
    <w:p w14:paraId="50924CC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对所有供应商的所投项目内容响应程度、售后服务、价格因素及其他情况进行综合审查，以确定其是否实质性响应询比采购文件。根据评分标准，采用综合评分法进行评分，按综合得分高低排序并推荐前三名预中标候选人，询比采购投标文件满足询比采购文件全部实质性要求，且按照评审因素的量化指标评审得分最高的投标人为排名第一的中标候选人,各专家的评分的算术平均值，即为该单位的综合得分。</w:t>
      </w:r>
    </w:p>
    <w:p w14:paraId="69A433A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如出现综合得分第一并列的情形（得分最高的投标单位有两家），应当将投标报价较低的推荐为第一中标候选人，投标报价较高推荐为第二中标候选人；如综合得分第二遇到并列情形，以此类推。</w:t>
      </w:r>
    </w:p>
    <w:p w14:paraId="57E6C59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如出现综合得分第一并列（得分最高的投标单位有两家）且报价也相同的情形，应当将“技术标响应情况（技术指标、参数）”得分较高的推荐为第一中标候选人，该项得分较低推荐为第二中标候选人；如出现综合得分第二并列且报价也相同的情形，以此类推。</w:t>
      </w:r>
    </w:p>
    <w:p w14:paraId="3713CB2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如出现提供相同品牌产品且通过资格审查、符合性审查的不同投标人参加本项目投标情形的，按一家投标人计算，评审后得分最高的同品牌投标人获得中标人推荐资格；评审得分相同的，将由报价最低的投标人获得中标人推荐资格，其他同品牌投标人不作为中标候选人。</w:t>
      </w:r>
    </w:p>
    <w:p w14:paraId="39F931B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i w:val="0"/>
          <w:iCs w:val="0"/>
          <w:caps w:val="0"/>
          <w:color w:val="1F2329"/>
          <w:spacing w:val="0"/>
          <w:sz w:val="24"/>
          <w:szCs w:val="24"/>
          <w:highlight w:val="none"/>
          <w:shd w:val="clear" w:fill="FFFFFF"/>
        </w:rPr>
      </w:pPr>
      <w:r>
        <w:rPr>
          <w:rFonts w:hint="eastAsia" w:asciiTheme="minorEastAsia" w:hAnsiTheme="minorEastAsia" w:eastAsiaTheme="minorEastAsia" w:cstheme="minorEastAsia"/>
          <w:b/>
          <w:bCs/>
          <w:i w:val="0"/>
          <w:iCs w:val="0"/>
          <w:caps w:val="0"/>
          <w:color w:val="1F2329"/>
          <w:spacing w:val="0"/>
          <w:sz w:val="24"/>
          <w:szCs w:val="24"/>
          <w:highlight w:val="none"/>
          <w:shd w:val="clear" w:fill="FFFFFF"/>
        </w:rPr>
        <w:t>综合评分表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091"/>
        <w:gridCol w:w="1100"/>
        <w:gridCol w:w="6107"/>
      </w:tblGrid>
      <w:tr w14:paraId="4F2E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40F5894C">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序号</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F01B528">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评分项目</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9C66196">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标准分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3B2F12BD">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评分标准</w:t>
            </w:r>
          </w:p>
        </w:tc>
      </w:tr>
      <w:tr w14:paraId="4416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634DAC46">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8FDD2B2">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投标报价</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ACB0B24">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bidi="ar"/>
              </w:rPr>
              <w:t>30</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5DF13932">
            <w:pPr>
              <w:keepNext w:val="0"/>
              <w:keepLines w:val="0"/>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所有算术修正后的投标报价由低到高进行排序，投标价格最低的投标报价为评标基准价，其价格分为满分。价格分统一公式计算：投标报价得分=（投标基准价/投标报价）×0.1×100。</w:t>
            </w:r>
          </w:p>
        </w:tc>
      </w:tr>
      <w:tr w14:paraId="5F72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6E530E01">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2</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5557F18">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项目实施方案</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9D4693B">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bidi="ar"/>
              </w:rPr>
              <w:t>15</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27755947">
            <w:pPr>
              <w:keepNext w:val="0"/>
              <w:keepLines w:val="0"/>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项目实施方案论述全面、合理（涵盖</w:t>
            </w:r>
            <w:r>
              <w:rPr>
                <w:rFonts w:hint="eastAsia" w:asciiTheme="minorEastAsia" w:hAnsiTheme="minorEastAsia" w:eastAsiaTheme="minorEastAsia" w:cstheme="minorEastAsia"/>
                <w:sz w:val="24"/>
                <w:szCs w:val="24"/>
                <w:highlight w:val="none"/>
                <w:lang w:val="en-US" w:eastAsia="zh-CN" w:bidi="ar"/>
              </w:rPr>
              <w:t>安全保卫</w:t>
            </w:r>
            <w:r>
              <w:rPr>
                <w:rFonts w:hint="eastAsia" w:asciiTheme="minorEastAsia" w:hAnsiTheme="minorEastAsia" w:eastAsiaTheme="minorEastAsia" w:cstheme="minorEastAsia"/>
                <w:sz w:val="24"/>
                <w:szCs w:val="24"/>
                <w:highlight w:val="none"/>
                <w:lang w:bidi="ar"/>
              </w:rPr>
              <w:t>各环节流程、人员安排、设备保障等）的得10-15分；项目实施方案论述全面、合理性一般的得5-9.9分；项目实施方案论述全面、合理性差的得0-4.9分。</w:t>
            </w:r>
          </w:p>
        </w:tc>
      </w:tr>
      <w:tr w14:paraId="3CEA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0816F4E3">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3</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4AC2D850">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售后服务承诺</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27F4825">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30</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63993838">
            <w:pPr>
              <w:keepNext w:val="0"/>
              <w:keepLines w:val="0"/>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投标人根据项目特点，有完善的售后服务体系，服务措施完善，有科学合理的服务方案（含包含由</w:t>
            </w:r>
            <w:r>
              <w:rPr>
                <w:rFonts w:hint="eastAsia" w:asciiTheme="minorEastAsia" w:hAnsiTheme="minorEastAsia" w:eastAsiaTheme="minorEastAsia" w:cstheme="minorEastAsia"/>
                <w:sz w:val="24"/>
                <w:szCs w:val="24"/>
                <w:highlight w:val="none"/>
                <w:lang w:eastAsia="zh-CN" w:bidi="ar"/>
              </w:rPr>
              <w:t>乙方</w:t>
            </w:r>
            <w:r>
              <w:rPr>
                <w:rFonts w:hint="eastAsia" w:asciiTheme="minorEastAsia" w:hAnsiTheme="minorEastAsia" w:eastAsiaTheme="minorEastAsia" w:cstheme="minorEastAsia"/>
                <w:sz w:val="24"/>
                <w:szCs w:val="24"/>
                <w:highlight w:val="none"/>
                <w:lang w:bidi="ar"/>
              </w:rPr>
              <w:t>承担的对讲机、安保服装、照明灯、应急包等材料费等）的得</w:t>
            </w:r>
            <w:r>
              <w:rPr>
                <w:rFonts w:hint="eastAsia" w:asciiTheme="minorEastAsia" w:hAnsiTheme="minorEastAsia" w:eastAsiaTheme="minorEastAsia" w:cstheme="minorEastAsia"/>
                <w:sz w:val="24"/>
                <w:szCs w:val="24"/>
                <w:highlight w:val="none"/>
                <w:lang w:val="en-US" w:eastAsia="zh-CN" w:bidi="ar"/>
              </w:rPr>
              <w:t>25</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val="en-US" w:eastAsia="zh-CN" w:bidi="ar"/>
              </w:rPr>
              <w:t>30</w:t>
            </w:r>
            <w:r>
              <w:rPr>
                <w:rFonts w:hint="eastAsia" w:asciiTheme="minorEastAsia" w:hAnsiTheme="minorEastAsia" w:eastAsiaTheme="minorEastAsia" w:cstheme="minorEastAsia"/>
                <w:sz w:val="24"/>
                <w:szCs w:val="24"/>
                <w:highlight w:val="none"/>
                <w:lang w:bidi="ar"/>
              </w:rPr>
              <w:t>分；投标人根据项目特点，有较为完善的售后服务体系，服务措施较具体，有较合理的服务方案，得</w:t>
            </w:r>
            <w:r>
              <w:rPr>
                <w:rFonts w:hint="eastAsia" w:asciiTheme="minorEastAsia" w:hAnsiTheme="minorEastAsia" w:eastAsiaTheme="minorEastAsia" w:cstheme="minorEastAsia"/>
                <w:sz w:val="24"/>
                <w:szCs w:val="24"/>
                <w:highlight w:val="none"/>
                <w:lang w:val="en-US" w:eastAsia="zh-CN" w:bidi="ar"/>
              </w:rPr>
              <w:t>15</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val="en-US" w:eastAsia="zh-CN" w:bidi="ar"/>
              </w:rPr>
              <w:t>24</w:t>
            </w:r>
            <w:r>
              <w:rPr>
                <w:rFonts w:hint="eastAsia" w:asciiTheme="minorEastAsia" w:hAnsiTheme="minorEastAsia" w:eastAsiaTheme="minorEastAsia" w:cstheme="minorEastAsia"/>
                <w:sz w:val="24"/>
                <w:szCs w:val="24"/>
                <w:highlight w:val="none"/>
                <w:lang w:bidi="ar"/>
              </w:rPr>
              <w:t>分；投标人根据项目特点，有售后服务体系，有明确的服务措施和服务方案，得0-</w:t>
            </w:r>
            <w:r>
              <w:rPr>
                <w:rFonts w:hint="eastAsia" w:asciiTheme="minorEastAsia" w:hAnsiTheme="minorEastAsia" w:eastAsiaTheme="minorEastAsia" w:cstheme="minorEastAsia"/>
                <w:sz w:val="24"/>
                <w:szCs w:val="24"/>
                <w:highlight w:val="none"/>
                <w:lang w:val="en-US" w:eastAsia="zh-CN" w:bidi="ar"/>
              </w:rPr>
              <w:t>14</w:t>
            </w:r>
            <w:r>
              <w:rPr>
                <w:rFonts w:hint="eastAsia" w:asciiTheme="minorEastAsia" w:hAnsiTheme="minorEastAsia" w:eastAsiaTheme="minorEastAsia" w:cstheme="minorEastAsia"/>
                <w:sz w:val="24"/>
                <w:szCs w:val="24"/>
                <w:highlight w:val="none"/>
                <w:lang w:bidi="ar"/>
              </w:rPr>
              <w:t>分，其他情况不得分。</w:t>
            </w:r>
          </w:p>
        </w:tc>
      </w:tr>
      <w:tr w14:paraId="1FF4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2F6F61B4">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4</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A303E3C">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驻场运维方案及保障措施</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7A7FD22">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20</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19547BD8">
            <w:pPr>
              <w:keepNext w:val="0"/>
              <w:keepLines w:val="0"/>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方案论述全面、合理（含驻场人员配置、工作时间安排、应急保障机制等）的得</w:t>
            </w:r>
            <w:r>
              <w:rPr>
                <w:rFonts w:hint="eastAsia" w:asciiTheme="minorEastAsia" w:hAnsiTheme="minorEastAsia" w:eastAsiaTheme="minorEastAsia" w:cstheme="minorEastAsia"/>
                <w:sz w:val="24"/>
                <w:szCs w:val="24"/>
                <w:highlight w:val="none"/>
                <w:lang w:val="en-US" w:eastAsia="zh-CN" w:bidi="ar"/>
              </w:rPr>
              <w:t>15-20</w:t>
            </w:r>
            <w:r>
              <w:rPr>
                <w:rFonts w:hint="eastAsia" w:asciiTheme="minorEastAsia" w:hAnsiTheme="minorEastAsia" w:eastAsiaTheme="minorEastAsia" w:cstheme="minorEastAsia"/>
                <w:sz w:val="24"/>
                <w:szCs w:val="24"/>
                <w:highlight w:val="none"/>
                <w:lang w:bidi="ar"/>
              </w:rPr>
              <w:t>分；方案论述全面、合理性一般的得</w:t>
            </w:r>
            <w:r>
              <w:rPr>
                <w:rFonts w:hint="eastAsia" w:asciiTheme="minorEastAsia" w:hAnsiTheme="minorEastAsia" w:eastAsiaTheme="minorEastAsia" w:cstheme="minorEastAsia"/>
                <w:sz w:val="24"/>
                <w:szCs w:val="24"/>
                <w:highlight w:val="none"/>
                <w:lang w:val="en-US" w:eastAsia="zh-CN" w:bidi="ar"/>
              </w:rPr>
              <w:t>10</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val="en-US" w:eastAsia="zh-CN" w:bidi="ar"/>
              </w:rPr>
              <w:t>15</w:t>
            </w:r>
            <w:r>
              <w:rPr>
                <w:rFonts w:hint="eastAsia" w:asciiTheme="minorEastAsia" w:hAnsiTheme="minorEastAsia" w:eastAsiaTheme="minorEastAsia" w:cstheme="minorEastAsia"/>
                <w:sz w:val="24"/>
                <w:szCs w:val="24"/>
                <w:highlight w:val="none"/>
                <w:lang w:bidi="ar"/>
              </w:rPr>
              <w:t>分；方案论述全面、合理性差的得0-</w:t>
            </w:r>
            <w:r>
              <w:rPr>
                <w:rFonts w:hint="eastAsia" w:asciiTheme="minorEastAsia" w:hAnsiTheme="minorEastAsia" w:eastAsiaTheme="minorEastAsia" w:cstheme="minorEastAsia"/>
                <w:sz w:val="24"/>
                <w:szCs w:val="24"/>
                <w:highlight w:val="none"/>
                <w:lang w:val="en-US" w:eastAsia="zh-CN" w:bidi="ar"/>
              </w:rPr>
              <w:t>9</w:t>
            </w:r>
            <w:r>
              <w:rPr>
                <w:rFonts w:hint="eastAsia" w:asciiTheme="minorEastAsia" w:hAnsiTheme="minorEastAsia" w:eastAsiaTheme="minorEastAsia" w:cstheme="minorEastAsia"/>
                <w:sz w:val="24"/>
                <w:szCs w:val="24"/>
                <w:highlight w:val="none"/>
                <w:lang w:bidi="ar"/>
              </w:rPr>
              <w:t>分。</w:t>
            </w:r>
          </w:p>
        </w:tc>
      </w:tr>
      <w:tr w14:paraId="7CF2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523B3657">
            <w:pPr>
              <w:pStyle w:val="22"/>
              <w:keepNext w:val="0"/>
              <w:keepLines w:val="0"/>
              <w:pageBreakBefore w:val="0"/>
              <w:kinsoku/>
              <w:wordWrap/>
              <w:overflowPunct/>
              <w:topLinePunct w:val="0"/>
              <w:bidi w:val="0"/>
              <w:spacing w:line="560" w:lineRule="exact"/>
              <w:ind w:left="16" w:leftChars="0" w:right="0" w:rightChars="0"/>
              <w:jc w:val="center"/>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5</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70B1C8D">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p>
          <w:p w14:paraId="710CB6B5">
            <w:pPr>
              <w:pStyle w:val="22"/>
              <w:keepNext w:val="0"/>
              <w:keepLines w:val="0"/>
              <w:pageBreakBefore w:val="0"/>
              <w:kinsoku/>
              <w:wordWrap/>
              <w:overflowPunct/>
              <w:topLinePunct w:val="0"/>
              <w:bidi w:val="0"/>
              <w:spacing w:line="560" w:lineRule="exact"/>
              <w:ind w:left="0" w:leftChars="0" w:right="34" w:rightChars="16"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同类</w:t>
            </w:r>
          </w:p>
          <w:p w14:paraId="76C509AE">
            <w:pPr>
              <w:pStyle w:val="22"/>
              <w:keepNext w:val="0"/>
              <w:keepLines w:val="0"/>
              <w:pageBreakBefore w:val="0"/>
              <w:kinsoku/>
              <w:wordWrap/>
              <w:overflowPunct/>
              <w:topLinePunct w:val="0"/>
              <w:bidi w:val="0"/>
              <w:spacing w:line="560" w:lineRule="exact"/>
              <w:ind w:left="0" w:leftChars="0" w:right="0" w:rightChars="0"/>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rPr>
              <w:t>业绩</w:t>
            </w:r>
          </w:p>
        </w:tc>
        <w:tc>
          <w:tcPr>
            <w:tcW w:w="1100" w:type="dxa"/>
            <w:tcBorders>
              <w:top w:val="single" w:color="auto" w:sz="4" w:space="0"/>
              <w:left w:val="single" w:color="auto" w:sz="4" w:space="0"/>
              <w:bottom w:val="single" w:color="auto" w:sz="4" w:space="0"/>
              <w:right w:val="single" w:color="auto" w:sz="4" w:space="0"/>
            </w:tcBorders>
            <w:noWrap w:val="0"/>
            <w:vAlign w:val="top"/>
          </w:tcPr>
          <w:p w14:paraId="7F3C0AC1">
            <w:pPr>
              <w:pStyle w:val="22"/>
              <w:keepNext w:val="0"/>
              <w:keepLines w:val="0"/>
              <w:pageBreakBefore w:val="0"/>
              <w:widowControl w:val="0"/>
              <w:kinsoku/>
              <w:wordWrap/>
              <w:overflowPunct/>
              <w:topLinePunct w:val="0"/>
              <w:autoSpaceDE w:val="0"/>
              <w:autoSpaceDN w:val="0"/>
              <w:bidi w:val="0"/>
              <w:adjustRightInd/>
              <w:snapToGrid/>
              <w:spacing w:before="2" w:line="560" w:lineRule="exact"/>
              <w:ind w:left="0"/>
              <w:jc w:val="center"/>
              <w:textAlignment w:val="auto"/>
              <w:rPr>
                <w:rFonts w:hint="eastAsia" w:asciiTheme="minorEastAsia" w:hAnsiTheme="minorEastAsia" w:eastAsiaTheme="minorEastAsia" w:cstheme="minorEastAsia"/>
                <w:b/>
                <w:sz w:val="24"/>
                <w:szCs w:val="24"/>
                <w:highlight w:val="none"/>
                <w:lang w:val="en-US" w:eastAsia="zh-CN"/>
              </w:rPr>
            </w:pPr>
          </w:p>
          <w:p w14:paraId="1D2511F0">
            <w:pPr>
              <w:pStyle w:val="2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bidi="ar"/>
              </w:rPr>
              <w:t>5</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top"/>
          </w:tcPr>
          <w:p w14:paraId="58A14194">
            <w:pPr>
              <w:pStyle w:val="22"/>
              <w:keepNext w:val="0"/>
              <w:keepLines w:val="0"/>
              <w:pageBreakBefore w:val="0"/>
              <w:kinsoku/>
              <w:wordWrap/>
              <w:overflowPunct/>
              <w:topLinePunct w:val="0"/>
              <w:bidi w:val="0"/>
              <w:spacing w:before="94" w:line="560" w:lineRule="exact"/>
              <w:ind w:left="110" w:leftChars="0"/>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rPr>
              <w:t>根据供应商的业绩情况进行评审，提供近三年来的同类</w:t>
            </w:r>
            <w:r>
              <w:rPr>
                <w:rFonts w:hint="eastAsia" w:asciiTheme="minorEastAsia" w:hAnsiTheme="minorEastAsia" w:eastAsiaTheme="minorEastAsia" w:cstheme="minorEastAsia"/>
                <w:sz w:val="24"/>
                <w:szCs w:val="24"/>
                <w:highlight w:val="none"/>
                <w:lang w:val="en-US" w:eastAsia="zh-CN"/>
              </w:rPr>
              <w:t>安全保卫</w:t>
            </w:r>
            <w:r>
              <w:rPr>
                <w:rFonts w:hint="eastAsia" w:asciiTheme="minorEastAsia" w:hAnsiTheme="minorEastAsia" w:eastAsiaTheme="minorEastAsia" w:cstheme="minorEastAsia"/>
                <w:sz w:val="24"/>
                <w:szCs w:val="24"/>
                <w:highlight w:val="none"/>
              </w:rPr>
              <w:t>业务合同，提供一个得</w:t>
            </w: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rPr>
              <w:t>分。</w:t>
            </w:r>
          </w:p>
        </w:tc>
      </w:tr>
    </w:tbl>
    <w:p w14:paraId="043659A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1、</w:t>
      </w:r>
      <w:r>
        <w:rPr>
          <w:rFonts w:hint="eastAsia" w:asciiTheme="minorEastAsia" w:hAnsiTheme="minorEastAsia" w:eastAsiaTheme="minorEastAsia" w:cstheme="minorEastAsia"/>
          <w:i w:val="0"/>
          <w:iCs w:val="0"/>
          <w:caps w:val="0"/>
          <w:color w:val="1F2329"/>
          <w:spacing w:val="0"/>
          <w:sz w:val="24"/>
          <w:szCs w:val="24"/>
          <w:shd w:val="clear" w:fill="FFFFFF"/>
        </w:rPr>
        <w:t>评标结果的确定</w:t>
      </w:r>
    </w:p>
    <w:p w14:paraId="452CE4A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根据对供应商询比采购投标文件的评审结果，最终确定具有履行合同义务的条件、资质合格、技术指标符合需求、产品质量优良、报价合理且未超出采购预算的供应商为中标供应商。采购招标人将于采购人依法确定中标人之日起2个工作日内，在张家口建发集团网站公告中标结果，中标公告期限为1个工作日。在公告期间若有对中标供应商的反映，并经核实反映情况属实，将取消其中标资格，由预中标候选人（综合得分次高且报价未超出采购预算的供应商）替补，以此类推。采购人也可以按照相关法律、法规重新组织招标。</w:t>
      </w:r>
    </w:p>
    <w:p w14:paraId="45FFDDC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2、中标供应商在中标公告发布后</w:t>
      </w:r>
      <w:r>
        <w:rPr>
          <w:rFonts w:hint="eastAsia" w:asciiTheme="minorEastAsia" w:hAnsiTheme="minorEastAsia" w:eastAsiaTheme="minorEastAsia" w:cstheme="minorEastAsia"/>
          <w:i w:val="0"/>
          <w:iCs w:val="0"/>
          <w:caps w:val="0"/>
          <w:color w:val="1F2329"/>
          <w:spacing w:val="0"/>
          <w:sz w:val="24"/>
          <w:szCs w:val="24"/>
          <w:shd w:val="clear" w:fill="FFFFFF"/>
          <w:lang w:val="en-US" w:eastAsia="zh-CN"/>
        </w:rPr>
        <w:t>1</w:t>
      </w:r>
      <w:r>
        <w:rPr>
          <w:rFonts w:hint="eastAsia" w:asciiTheme="minorEastAsia" w:hAnsiTheme="minorEastAsia" w:eastAsiaTheme="minorEastAsia" w:cstheme="minorEastAsia"/>
          <w:i w:val="0"/>
          <w:iCs w:val="0"/>
          <w:caps w:val="0"/>
          <w:color w:val="1F2329"/>
          <w:spacing w:val="0"/>
          <w:sz w:val="24"/>
          <w:szCs w:val="24"/>
          <w:shd w:val="clear" w:fill="FFFFFF"/>
        </w:rPr>
        <w:t>个工作日内到</w:t>
      </w:r>
      <w:r>
        <w:rPr>
          <w:rFonts w:hint="eastAsia" w:asciiTheme="minorEastAsia" w:hAnsiTheme="minorEastAsia" w:eastAsiaTheme="minorEastAsia" w:cstheme="minorEastAsia"/>
          <w:i w:val="0"/>
          <w:iCs w:val="0"/>
          <w:caps w:val="0"/>
          <w:color w:val="1F2329"/>
          <w:spacing w:val="0"/>
          <w:sz w:val="24"/>
          <w:szCs w:val="24"/>
          <w:shd w:val="clear" w:fill="FFFFFF"/>
          <w:lang w:val="en-US" w:eastAsia="zh-CN"/>
        </w:rPr>
        <w:t>张家口霖辉物业管理</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集团有限</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公司领取中标通知书，如未按期领取而产生的一切后果，均由中标供应商承担。</w:t>
      </w:r>
    </w:p>
    <w:p w14:paraId="20259AA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3、质疑与投诉投标人对政府采购活动事项有质疑的，可以向采购人或采购招标人</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提出询问或者质疑。质疑投标人对采购人或采购招标人的答复不满意或者没有答复的，可向</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建发集团</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投诉。质疑或者投诉要事实清楚、证据充分，质疑或者投诉材料应当包含质疑或者投诉内容、证</w:t>
      </w:r>
      <w:r>
        <w:rPr>
          <w:rFonts w:hint="eastAsia" w:asciiTheme="minorEastAsia" w:hAnsiTheme="minorEastAsia" w:eastAsiaTheme="minorEastAsia" w:cstheme="minorEastAsia"/>
          <w:i w:val="0"/>
          <w:iCs w:val="0"/>
          <w:caps w:val="0"/>
          <w:color w:val="1F2329"/>
          <w:spacing w:val="0"/>
          <w:sz w:val="24"/>
          <w:szCs w:val="24"/>
          <w:shd w:val="clear" w:fill="FFFFFF"/>
        </w:rPr>
        <w:t>据材料、证据材料来源等，材料中引用没有公开的询比采购文件的，要明确注明材料来源。对没有证据材料和没有提供证据材料来源的，或以道听途说、主观臆断为依据提出的，不予受理；对捏造事实、陷害诬告、破坏政府采购工作的，将向政府采购办提议列入政府采购黑名单。</w:t>
      </w:r>
    </w:p>
    <w:p w14:paraId="6326613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七、保密及其他注意事项</w:t>
      </w:r>
    </w:p>
    <w:p w14:paraId="60969BE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1、评标是招标工作的重要环节，评标工作在评标小组内独立进行。</w:t>
      </w:r>
    </w:p>
    <w:p w14:paraId="1696B6E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2、供应商应遵守有关法律、法规，不得采取不正当的竞争手段，否则，其后果由供应商自负。</w:t>
      </w:r>
    </w:p>
    <w:p w14:paraId="44FA7D0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3、在开标直至宣布结果之前，供应商不得向评委询问评标情况，不得进行旨在影响评标结果的活动，否则，其投标无效并追究法律责任。</w:t>
      </w:r>
    </w:p>
    <w:p w14:paraId="40B0C11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4、评标过程中，评委不得与供应商私下交换意见。在招标工作结束后，凡与评标情况有接触的任何人，不得将评标情况进行泄露。</w:t>
      </w:r>
    </w:p>
    <w:p w14:paraId="6AAD569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5、评标小组不向落标方解释落标原因，投标资料一律不予退还。</w:t>
      </w:r>
    </w:p>
    <w:p w14:paraId="5C64109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bookmarkStart w:id="64" w:name="_GoBack"/>
      <w:r>
        <w:rPr>
          <w:rFonts w:hint="eastAsia" w:asciiTheme="minorEastAsia" w:hAnsiTheme="minorEastAsia" w:eastAsiaTheme="minorEastAsia" w:cstheme="minorEastAsia"/>
          <w:i w:val="0"/>
          <w:iCs w:val="0"/>
          <w:caps w:val="0"/>
          <w:color w:val="1F2329"/>
          <w:spacing w:val="0"/>
          <w:sz w:val="24"/>
          <w:szCs w:val="24"/>
          <w:shd w:val="clear" w:fill="FFFFFF"/>
        </w:rPr>
        <w:t>八、合同</w:t>
      </w:r>
    </w:p>
    <w:bookmarkEnd w:id="64"/>
    <w:p w14:paraId="051C056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（一）合同由采购人和中标供应商签订。</w:t>
      </w:r>
    </w:p>
    <w:p w14:paraId="3F63E40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（二）签订合同</w:t>
      </w:r>
    </w:p>
    <w:p w14:paraId="47A9077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1、中标供应商持采购人签发的中标通知书以及其它相关证件与采购人签订《</w:t>
      </w:r>
      <w:r>
        <w:rPr>
          <w:rFonts w:hint="eastAsia" w:asciiTheme="minorEastAsia" w:hAnsiTheme="minorEastAsia" w:eastAsiaTheme="minorEastAsia" w:cstheme="minorEastAsia"/>
          <w:i w:val="0"/>
          <w:iCs w:val="0"/>
          <w:caps w:val="0"/>
          <w:color w:val="1F2329"/>
          <w:spacing w:val="0"/>
          <w:sz w:val="24"/>
          <w:szCs w:val="24"/>
          <w:shd w:val="clear" w:fill="FFFFFF"/>
          <w:lang w:val="en-US" w:eastAsia="zh-CN"/>
        </w:rPr>
        <w:t>安全保卫</w:t>
      </w:r>
      <w:r>
        <w:rPr>
          <w:rFonts w:hint="eastAsia" w:asciiTheme="minorEastAsia" w:hAnsiTheme="minorEastAsia" w:eastAsiaTheme="minorEastAsia" w:cstheme="minorEastAsia"/>
          <w:i w:val="0"/>
          <w:iCs w:val="0"/>
          <w:caps w:val="0"/>
          <w:color w:val="1F2329"/>
          <w:spacing w:val="0"/>
          <w:sz w:val="24"/>
          <w:szCs w:val="24"/>
          <w:shd w:val="clear" w:fill="FFFFFF"/>
        </w:rPr>
        <w:t>服务合同》；</w:t>
      </w:r>
    </w:p>
    <w:p w14:paraId="6483322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2、中标供应商应在中标通知书发出后30日内与采购人签订供货合同；</w:t>
      </w:r>
    </w:p>
    <w:p w14:paraId="772B07D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3、如中标供应商或采购人不按中标通知书规定的时间、地点等要求按时签订合同或拒绝签订合同，则按违约处理。在有关媒体公布其不良行为；采购人违约，则按照《政府采购法》有关规定处理；</w:t>
      </w:r>
    </w:p>
    <w:p w14:paraId="2F0CD5E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4、如遇中标供应商违约，由预中标候选人（综合得分次高且报价未超出采购预算的供应商）替补，以此类推；</w:t>
      </w:r>
    </w:p>
    <w:p w14:paraId="0E93CCB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5、询比采购文件、询比采购投标文件、投标现场质询记录等确认文件，均作为签订《</w:t>
      </w:r>
      <w:r>
        <w:rPr>
          <w:rFonts w:hint="eastAsia" w:asciiTheme="minorEastAsia" w:hAnsiTheme="minorEastAsia" w:eastAsiaTheme="minorEastAsia" w:cstheme="minorEastAsia"/>
          <w:i w:val="0"/>
          <w:iCs w:val="0"/>
          <w:caps w:val="0"/>
          <w:color w:val="1F2329"/>
          <w:spacing w:val="0"/>
          <w:sz w:val="24"/>
          <w:szCs w:val="24"/>
          <w:shd w:val="clear" w:fill="FFFFFF"/>
          <w:lang w:val="en-US" w:eastAsia="zh-CN"/>
        </w:rPr>
        <w:t>安全保卫</w:t>
      </w:r>
      <w:r>
        <w:rPr>
          <w:rFonts w:hint="eastAsia" w:asciiTheme="minorEastAsia" w:hAnsiTheme="minorEastAsia" w:eastAsiaTheme="minorEastAsia" w:cstheme="minorEastAsia"/>
          <w:i w:val="0"/>
          <w:iCs w:val="0"/>
          <w:caps w:val="0"/>
          <w:color w:val="1F2329"/>
          <w:spacing w:val="0"/>
          <w:sz w:val="24"/>
          <w:szCs w:val="24"/>
          <w:shd w:val="clear" w:fill="FFFFFF"/>
        </w:rPr>
        <w:t>服务合同》之依据，并作为合同的附件。</w:t>
      </w:r>
    </w:p>
    <w:p w14:paraId="076F249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6、合同条款应严格遵循《</w:t>
      </w:r>
      <w:r>
        <w:rPr>
          <w:rFonts w:hint="eastAsia" w:asciiTheme="minorEastAsia" w:hAnsiTheme="minorEastAsia" w:eastAsiaTheme="minorEastAsia" w:cstheme="minorEastAsia"/>
          <w:i w:val="0"/>
          <w:iCs w:val="0"/>
          <w:caps w:val="0"/>
          <w:color w:val="1F2329"/>
          <w:spacing w:val="0"/>
          <w:sz w:val="24"/>
          <w:szCs w:val="24"/>
          <w:shd w:val="clear" w:fill="FFFFFF"/>
          <w:lang w:val="en-US" w:eastAsia="zh-CN"/>
        </w:rPr>
        <w:t>安全保卫</w:t>
      </w:r>
      <w:r>
        <w:rPr>
          <w:rFonts w:hint="eastAsia" w:asciiTheme="minorEastAsia" w:hAnsiTheme="minorEastAsia" w:eastAsiaTheme="minorEastAsia" w:cstheme="minorEastAsia"/>
          <w:i w:val="0"/>
          <w:iCs w:val="0"/>
          <w:caps w:val="0"/>
          <w:color w:val="1F2329"/>
          <w:spacing w:val="0"/>
          <w:sz w:val="24"/>
          <w:szCs w:val="24"/>
          <w:shd w:val="clear" w:fill="FFFFFF"/>
        </w:rPr>
        <w:t>服务合同》的相关约定，包括服务期限、服务费用、服务内容、双方权利义务、违约责任、保密条款等核心内容。</w:t>
      </w:r>
    </w:p>
    <w:p w14:paraId="143892F9">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br w:type="page"/>
      </w:r>
    </w:p>
    <w:p w14:paraId="2D6F386F">
      <w:pPr>
        <w:pStyle w:val="2"/>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rPr>
        <w:t>第四部分</w:t>
      </w:r>
      <w:r>
        <w:rPr>
          <w:rFonts w:hint="eastAsia" w:asciiTheme="minorEastAsia" w:hAnsiTheme="minorEastAsia" w:eastAsiaTheme="minorEastAsia" w:cstheme="minorEastAsia"/>
          <w:b w:val="0"/>
          <w:bCs w:val="0"/>
          <w:color w:val="000000"/>
          <w:sz w:val="24"/>
          <w:szCs w:val="24"/>
          <w:lang w:val="en-US" w:eastAsia="zh-CN"/>
        </w:rPr>
        <w:t xml:space="preserve">  </w:t>
      </w:r>
      <w:r>
        <w:rPr>
          <w:rFonts w:hint="eastAsia" w:asciiTheme="minorEastAsia" w:hAnsiTheme="minorEastAsia" w:eastAsiaTheme="minorEastAsia" w:cstheme="minorEastAsia"/>
          <w:b w:val="0"/>
          <w:bCs w:val="0"/>
          <w:color w:val="000000"/>
          <w:sz w:val="24"/>
          <w:szCs w:val="24"/>
        </w:rPr>
        <w:t>合同草案</w:t>
      </w:r>
      <w:r>
        <w:rPr>
          <w:rFonts w:hint="eastAsia" w:asciiTheme="minorEastAsia" w:hAnsiTheme="minorEastAsia" w:eastAsiaTheme="minorEastAsia" w:cstheme="minorEastAsia"/>
          <w:b w:val="0"/>
          <w:bCs w:val="0"/>
          <w:color w:val="000000"/>
          <w:sz w:val="24"/>
          <w:szCs w:val="24"/>
          <w:lang w:eastAsia="zh-CN"/>
        </w:rPr>
        <w:t>（</w:t>
      </w:r>
      <w:r>
        <w:rPr>
          <w:rFonts w:hint="eastAsia" w:asciiTheme="minorEastAsia" w:hAnsiTheme="minorEastAsia" w:eastAsiaTheme="minorEastAsia" w:cstheme="minorEastAsia"/>
          <w:b w:val="0"/>
          <w:bCs w:val="0"/>
          <w:color w:val="000000"/>
          <w:sz w:val="24"/>
          <w:szCs w:val="24"/>
        </w:rPr>
        <w:t>仅供参考</w:t>
      </w:r>
      <w:r>
        <w:rPr>
          <w:rFonts w:hint="eastAsia" w:asciiTheme="minorEastAsia" w:hAnsiTheme="minorEastAsia" w:eastAsiaTheme="minorEastAsia" w:cstheme="minorEastAsia"/>
          <w:b w:val="0"/>
          <w:bCs w:val="0"/>
          <w:color w:val="000000"/>
          <w:sz w:val="24"/>
          <w:szCs w:val="24"/>
          <w:lang w:eastAsia="zh-CN"/>
        </w:rPr>
        <w:t>）</w:t>
      </w:r>
    </w:p>
    <w:p w14:paraId="6A3190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rPr>
      </w:pPr>
    </w:p>
    <w:p w14:paraId="3618C0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安全保卫</w:t>
      </w:r>
      <w:r>
        <w:rPr>
          <w:rFonts w:hint="eastAsia" w:asciiTheme="minorEastAsia" w:hAnsiTheme="minorEastAsia" w:eastAsiaTheme="minorEastAsia" w:cstheme="minorEastAsia"/>
          <w:b/>
          <w:bCs/>
          <w:sz w:val="24"/>
          <w:szCs w:val="24"/>
          <w:highlight w:val="none"/>
        </w:rPr>
        <w:t>服务合同</w:t>
      </w:r>
    </w:p>
    <w:p w14:paraId="5668F0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1347E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color w:val="auto"/>
          <w:sz w:val="24"/>
          <w:szCs w:val="24"/>
          <w:u w:val="single"/>
          <w:lang w:val="en-US" w:eastAsia="zh-CN"/>
        </w:rPr>
        <w:t xml:space="preserve">                                                     </w:t>
      </w:r>
    </w:p>
    <w:p w14:paraId="17A181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统一社会信用代码：</w:t>
      </w:r>
      <w:r>
        <w:rPr>
          <w:rFonts w:hint="eastAsia" w:asciiTheme="minorEastAsia" w:hAnsiTheme="minorEastAsia" w:eastAsiaTheme="minorEastAsia" w:cstheme="minorEastAsia"/>
          <w:color w:val="auto"/>
          <w:sz w:val="24"/>
          <w:szCs w:val="24"/>
          <w:u w:val="single"/>
          <w:lang w:val="en-US" w:eastAsia="zh-CN"/>
        </w:rPr>
        <w:t xml:space="preserve">                                         </w:t>
      </w:r>
    </w:p>
    <w:p w14:paraId="063C96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开户银行：</w:t>
      </w:r>
      <w:r>
        <w:rPr>
          <w:rFonts w:hint="eastAsia" w:asciiTheme="minorEastAsia" w:hAnsiTheme="minorEastAsia" w:eastAsiaTheme="minorEastAsia" w:cstheme="minorEastAsia"/>
          <w:color w:val="auto"/>
          <w:sz w:val="24"/>
          <w:szCs w:val="24"/>
          <w:u w:val="single"/>
          <w:lang w:val="en-US" w:eastAsia="zh-CN"/>
        </w:rPr>
        <w:t xml:space="preserve">                                                 </w:t>
      </w:r>
    </w:p>
    <w:p w14:paraId="699F1D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color w:val="auto"/>
          <w:sz w:val="24"/>
          <w:szCs w:val="24"/>
          <w:u w:val="single"/>
          <w:lang w:val="en-US" w:eastAsia="zh-CN"/>
        </w:rPr>
        <w:t xml:space="preserve">                                                 </w:t>
      </w:r>
    </w:p>
    <w:p w14:paraId="716CF2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color w:val="auto"/>
          <w:sz w:val="24"/>
          <w:szCs w:val="24"/>
          <w:u w:val="single"/>
          <w:lang w:val="en-US" w:eastAsia="zh-CN"/>
        </w:rPr>
        <w:t xml:space="preserve">                                                   </w:t>
      </w:r>
    </w:p>
    <w:p w14:paraId="2A335C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color w:val="auto"/>
          <w:sz w:val="24"/>
          <w:szCs w:val="24"/>
          <w:u w:val="single"/>
          <w:lang w:val="en-US" w:eastAsia="zh-CN"/>
        </w:rPr>
        <w:t xml:space="preserve">                                               </w:t>
      </w:r>
    </w:p>
    <w:p w14:paraId="21847F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color w:val="auto"/>
          <w:sz w:val="24"/>
          <w:szCs w:val="24"/>
          <w:u w:val="single"/>
          <w:lang w:val="en-US" w:eastAsia="zh-CN"/>
        </w:rPr>
        <w:t xml:space="preserve">                                                 </w:t>
      </w:r>
    </w:p>
    <w:p w14:paraId="5A7274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p>
    <w:p w14:paraId="1B84A5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color w:val="auto"/>
          <w:sz w:val="24"/>
          <w:szCs w:val="24"/>
          <w:u w:val="single"/>
          <w:lang w:val="en-US" w:eastAsia="zh-CN"/>
        </w:rPr>
        <w:t xml:space="preserve">                                                     </w:t>
      </w:r>
    </w:p>
    <w:p w14:paraId="7DF71F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统一社会信用代码：</w:t>
      </w:r>
      <w:r>
        <w:rPr>
          <w:rFonts w:hint="eastAsia" w:asciiTheme="minorEastAsia" w:hAnsiTheme="minorEastAsia" w:eastAsiaTheme="minorEastAsia" w:cstheme="minorEastAsia"/>
          <w:color w:val="auto"/>
          <w:sz w:val="24"/>
          <w:szCs w:val="24"/>
          <w:u w:val="single"/>
          <w:lang w:val="en-US" w:eastAsia="zh-CN"/>
        </w:rPr>
        <w:t xml:space="preserve">                                         </w:t>
      </w:r>
    </w:p>
    <w:p w14:paraId="0D4D24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开户银行：</w:t>
      </w:r>
      <w:r>
        <w:rPr>
          <w:rFonts w:hint="eastAsia" w:asciiTheme="minorEastAsia" w:hAnsiTheme="minorEastAsia" w:eastAsiaTheme="minorEastAsia" w:cstheme="minorEastAsia"/>
          <w:color w:val="auto"/>
          <w:sz w:val="24"/>
          <w:szCs w:val="24"/>
          <w:u w:val="single"/>
          <w:lang w:val="en-US" w:eastAsia="zh-CN"/>
        </w:rPr>
        <w:t xml:space="preserve">                                                 </w:t>
      </w:r>
    </w:p>
    <w:p w14:paraId="5A5BA9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color w:val="auto"/>
          <w:sz w:val="24"/>
          <w:szCs w:val="24"/>
          <w:u w:val="single"/>
          <w:lang w:val="en-US" w:eastAsia="zh-CN"/>
        </w:rPr>
        <w:t xml:space="preserve">                                                 </w:t>
      </w:r>
    </w:p>
    <w:p w14:paraId="536006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color w:val="auto"/>
          <w:sz w:val="24"/>
          <w:szCs w:val="24"/>
          <w:u w:val="single"/>
          <w:lang w:val="en-US" w:eastAsia="zh-CN"/>
        </w:rPr>
        <w:t xml:space="preserve">                                                   </w:t>
      </w:r>
    </w:p>
    <w:p w14:paraId="2449AC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color w:val="auto"/>
          <w:sz w:val="24"/>
          <w:szCs w:val="24"/>
          <w:u w:val="single"/>
          <w:lang w:val="en-US" w:eastAsia="zh-CN"/>
        </w:rPr>
        <w:t xml:space="preserve">                                               </w:t>
      </w:r>
    </w:p>
    <w:p w14:paraId="181AD1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color w:val="auto"/>
          <w:sz w:val="24"/>
          <w:szCs w:val="24"/>
          <w:u w:val="single"/>
          <w:lang w:val="en-US" w:eastAsia="zh-CN"/>
        </w:rPr>
        <w:t xml:space="preserve">                                                 </w:t>
      </w:r>
    </w:p>
    <w:p w14:paraId="77482C6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p>
    <w:p w14:paraId="7B28B6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根据《中华人民共和国</w:t>
      </w:r>
      <w:r>
        <w:rPr>
          <w:rFonts w:hint="eastAsia" w:asciiTheme="minorEastAsia" w:hAnsiTheme="minorEastAsia" w:eastAsiaTheme="minorEastAsia" w:cstheme="minorEastAsia"/>
          <w:color w:val="000000"/>
          <w:kern w:val="0"/>
          <w:sz w:val="24"/>
          <w:szCs w:val="24"/>
          <w:lang w:eastAsia="zh-CN"/>
        </w:rPr>
        <w:t>民法典</w:t>
      </w:r>
      <w:r>
        <w:rPr>
          <w:rFonts w:hint="eastAsia" w:asciiTheme="minorEastAsia" w:hAnsiTheme="minorEastAsia" w:eastAsiaTheme="minorEastAsia" w:cstheme="minorEastAsia"/>
          <w:color w:val="000000"/>
          <w:kern w:val="0"/>
          <w:sz w:val="24"/>
          <w:szCs w:val="24"/>
        </w:rPr>
        <w:t>》等相关法律、法规的规定，经甲乙双方友好协商，由乙方为甲方</w:t>
      </w:r>
      <w:r>
        <w:rPr>
          <w:rFonts w:hint="eastAsia" w:asciiTheme="minorEastAsia" w:hAnsiTheme="minorEastAsia" w:eastAsiaTheme="minorEastAsia" w:cstheme="minorEastAsia"/>
          <w:color w:val="000000"/>
          <w:kern w:val="0"/>
          <w:sz w:val="24"/>
          <w:szCs w:val="24"/>
          <w:lang w:val="zh-CN"/>
        </w:rPr>
        <w:t>服务的</w:t>
      </w:r>
      <w:r>
        <w:rPr>
          <w:rFonts w:hint="eastAsia" w:asciiTheme="minorEastAsia" w:hAnsiTheme="minorEastAsia" w:eastAsiaTheme="minorEastAsia" w:cstheme="minorEastAsia"/>
          <w:color w:val="000000"/>
          <w:kern w:val="0"/>
          <w:sz w:val="24"/>
          <w:szCs w:val="24"/>
          <w:u w:val="single"/>
        </w:rPr>
        <w:t>张家口市“四馆”</w:t>
      </w:r>
      <w:r>
        <w:rPr>
          <w:rFonts w:hint="eastAsia" w:asciiTheme="minorEastAsia" w:hAnsiTheme="minorEastAsia" w:eastAsiaTheme="minorEastAsia" w:cstheme="minorEastAsia"/>
          <w:color w:val="000000"/>
          <w:kern w:val="0"/>
          <w:sz w:val="24"/>
          <w:szCs w:val="24"/>
          <w:u w:val="single"/>
          <w:lang w:val="en-US" w:eastAsia="zh-CN"/>
        </w:rPr>
        <w:t>项目</w:t>
      </w:r>
      <w:r>
        <w:rPr>
          <w:rFonts w:hint="eastAsia" w:asciiTheme="minorEastAsia" w:hAnsiTheme="minorEastAsia" w:eastAsiaTheme="minorEastAsia" w:cstheme="minorEastAsia"/>
          <w:color w:val="000000"/>
          <w:kern w:val="0"/>
          <w:sz w:val="24"/>
          <w:szCs w:val="24"/>
        </w:rPr>
        <w:t>提供</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安全保卫</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color w:val="000000"/>
          <w:kern w:val="0"/>
          <w:sz w:val="24"/>
          <w:szCs w:val="24"/>
        </w:rPr>
        <w:t>，为明确双方权利义务，特订立本合同，双方共同遵守。</w:t>
      </w:r>
    </w:p>
    <w:p w14:paraId="008936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11F7C0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第一条</w:t>
      </w:r>
      <w:r>
        <w:rPr>
          <w:rFonts w:hint="eastAsia" w:asciiTheme="minorEastAsia" w:hAnsiTheme="minorEastAsia" w:eastAsiaTheme="minorEastAsia" w:cstheme="minorEastAsia"/>
          <w:color w:val="000000" w:themeColor="text1"/>
          <w:sz w:val="24"/>
          <w:szCs w:val="24"/>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地址</w:t>
      </w:r>
    </w:p>
    <w:p w14:paraId="70C54AE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乙方承担</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位于</w:t>
      </w:r>
      <w:r>
        <w:rPr>
          <w:rFonts w:hint="eastAsia" w:asciiTheme="minorEastAsia" w:hAnsiTheme="minorEastAsia" w:eastAsiaTheme="minorEastAsia" w:cstheme="minorEastAsia"/>
          <w:color w:val="auto"/>
          <w:kern w:val="0"/>
          <w:sz w:val="24"/>
          <w:szCs w:val="24"/>
          <w:highlight w:val="none"/>
          <w:u w:val="none"/>
          <w:lang w:val="en-US" w:eastAsia="zh-CN"/>
        </w:rPr>
        <w:t>的</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安全保卫</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w:t>
      </w:r>
    </w:p>
    <w:p w14:paraId="20F628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第二条</w:t>
      </w:r>
      <w:r>
        <w:rPr>
          <w:rFonts w:hint="eastAsia" w:asciiTheme="minorEastAsia" w:hAnsiTheme="minorEastAsia" w:eastAsiaTheme="minorEastAsia" w:cstheme="minorEastAsia"/>
          <w:color w:val="auto"/>
          <w:sz w:val="24"/>
          <w:szCs w:val="24"/>
        </w:rPr>
        <w:t>服务期限</w:t>
      </w:r>
    </w:p>
    <w:p w14:paraId="3581DA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auto"/>
          <w:sz w:val="24"/>
          <w:szCs w:val="24"/>
          <w:lang w:val="en-US" w:eastAsia="zh-CN"/>
        </w:rPr>
        <w:t>本合同服务期年，</w:t>
      </w:r>
      <w:r>
        <w:rPr>
          <w:rFonts w:hint="eastAsia" w:asciiTheme="minorEastAsia" w:hAnsiTheme="minorEastAsia" w:eastAsiaTheme="minorEastAsia" w:cstheme="minorEastAsia"/>
          <w:color w:val="auto"/>
          <w:kern w:val="0"/>
          <w:sz w:val="24"/>
          <w:szCs w:val="24"/>
        </w:rPr>
        <w:t>自年月日起至年月日止。</w:t>
      </w:r>
    </w:p>
    <w:p w14:paraId="0F041FD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sz w:val="24"/>
          <w:szCs w:val="24"/>
          <w:lang w:val="en-US" w:eastAsia="zh-CN"/>
        </w:rPr>
        <w:t>如若合同期满后甲方仍需乙方继续为该项目提供服务，甲乙双方需在合同到期前20天协商，双方协商达成一致意见后续签。</w:t>
      </w:r>
    </w:p>
    <w:p w14:paraId="2F1C470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第三条</w:t>
      </w:r>
      <w:r>
        <w:rPr>
          <w:rFonts w:hint="eastAsia" w:asciiTheme="minorEastAsia" w:hAnsiTheme="minorEastAsia" w:eastAsiaTheme="minorEastAsia" w:cstheme="minorEastAsia"/>
          <w:sz w:val="24"/>
          <w:szCs w:val="24"/>
          <w:lang w:val="zh-CN"/>
        </w:rPr>
        <w:t>服务费用与付款方式</w:t>
      </w:r>
    </w:p>
    <w:p w14:paraId="7070AD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一、</w:t>
      </w:r>
      <w:r>
        <w:rPr>
          <w:rFonts w:hint="eastAsia" w:asciiTheme="minorEastAsia" w:hAnsiTheme="minorEastAsia" w:eastAsiaTheme="minorEastAsia" w:cstheme="minorEastAsia"/>
          <w:color w:val="auto"/>
          <w:kern w:val="0"/>
          <w:sz w:val="24"/>
          <w:szCs w:val="24"/>
          <w:lang w:val="zh-CN" w:eastAsia="zh-CN"/>
        </w:rPr>
        <w:t>服务费用：</w:t>
      </w:r>
      <w:r>
        <w:rPr>
          <w:rFonts w:hint="eastAsia" w:asciiTheme="minorEastAsia" w:hAnsiTheme="minorEastAsia" w:eastAsiaTheme="minorEastAsia" w:cstheme="minorEastAsia"/>
          <w:color w:val="auto"/>
          <w:sz w:val="24"/>
          <w:szCs w:val="24"/>
          <w:lang w:val="en-US" w:eastAsia="zh-CN"/>
        </w:rPr>
        <w:t>服务费为人民币</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元/年（大写</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eastAsia="zh-CN"/>
        </w:rPr>
        <w:t>元整）（含税）</w:t>
      </w:r>
      <w:r>
        <w:rPr>
          <w:rFonts w:hint="eastAsia" w:asciiTheme="minorEastAsia" w:hAnsiTheme="minorEastAsia" w:eastAsiaTheme="minorEastAsia" w:cstheme="minorEastAsia"/>
          <w:color w:val="auto"/>
          <w:sz w:val="24"/>
          <w:szCs w:val="24"/>
          <w:lang w:eastAsia="zh-CN"/>
        </w:rPr>
        <w:t>。</w:t>
      </w:r>
    </w:p>
    <w:p w14:paraId="0BCC5E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z w:val="24"/>
          <w:szCs w:val="24"/>
          <w:lang w:val="en-US" w:eastAsia="zh-CN"/>
        </w:rPr>
        <w:t>上述费用已经包含了乙方完成本合同项目工作所需的工资、工服、保险、设备、利润、税金等全部费用，甲方无须再向乙方支付任何费用</w:t>
      </w:r>
      <w:r>
        <w:rPr>
          <w:rFonts w:hint="eastAsia" w:asciiTheme="minorEastAsia" w:hAnsiTheme="minorEastAsia" w:eastAsiaTheme="minorEastAsia" w:cstheme="minorEastAsia"/>
          <w:color w:val="auto"/>
          <w:kern w:val="0"/>
          <w:sz w:val="24"/>
          <w:szCs w:val="24"/>
        </w:rPr>
        <w:t>。</w:t>
      </w:r>
    </w:p>
    <w:p w14:paraId="131291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二、付款</w:t>
      </w:r>
      <w:r>
        <w:rPr>
          <w:rFonts w:hint="eastAsia" w:asciiTheme="minorEastAsia" w:hAnsiTheme="minorEastAsia" w:eastAsiaTheme="minorEastAsia" w:cstheme="minorEastAsia"/>
          <w:color w:val="auto"/>
          <w:sz w:val="24"/>
          <w:szCs w:val="24"/>
          <w:highlight w:val="none"/>
        </w:rPr>
        <w:t>方式：</w:t>
      </w:r>
      <w:r>
        <w:rPr>
          <w:rFonts w:hint="eastAsia" w:asciiTheme="minorEastAsia" w:hAnsiTheme="minorEastAsia" w:eastAsiaTheme="minorEastAsia" w:cstheme="minorEastAsia"/>
          <w:color w:val="auto"/>
          <w:sz w:val="24"/>
          <w:szCs w:val="24"/>
          <w:highlight w:val="none"/>
          <w:lang w:val="en-US" w:eastAsia="zh-CN"/>
        </w:rPr>
        <w:t>转账</w:t>
      </w:r>
    </w:p>
    <w:p w14:paraId="2F798FB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三、结算方式：甲方在服务期限届满后向乙方指定账户支付服务费用。</w:t>
      </w:r>
    </w:p>
    <w:p w14:paraId="0684F38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乙方应向甲方提供符合国家规定的增值税专用发票。乙方在接到甲方开票要求后7日内开具增值税专用发票并送达甲方，甲方签收发票日期为发票送达日期。</w:t>
      </w:r>
    </w:p>
    <w:p w14:paraId="509810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第四条服务内容及项目要求</w:t>
      </w:r>
    </w:p>
    <w:p w14:paraId="042D0E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详情见合同附件。</w:t>
      </w:r>
    </w:p>
    <w:p w14:paraId="024C15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bookmarkStart w:id="36" w:name="_Toc18481_WPSOffice_Level1"/>
      <w:r>
        <w:rPr>
          <w:rFonts w:hint="eastAsia" w:asciiTheme="minorEastAsia" w:hAnsiTheme="minorEastAsia" w:eastAsiaTheme="minorEastAsia" w:cstheme="minorEastAsia"/>
          <w:sz w:val="24"/>
          <w:szCs w:val="24"/>
          <w:lang w:val="en-US" w:eastAsia="zh-CN"/>
        </w:rPr>
        <w:t>第五条</w:t>
      </w:r>
      <w:r>
        <w:rPr>
          <w:rFonts w:hint="eastAsia" w:asciiTheme="minorEastAsia" w:hAnsiTheme="minorEastAsia" w:eastAsiaTheme="minorEastAsia" w:cstheme="minorEastAsia"/>
          <w:sz w:val="24"/>
          <w:szCs w:val="24"/>
          <w:lang w:val="zh-CN"/>
        </w:rPr>
        <w:t>双方的权利与义务</w:t>
      </w:r>
      <w:bookmarkEnd w:id="36"/>
    </w:p>
    <w:p w14:paraId="731D5C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一、甲方权利和义务</w:t>
      </w:r>
    </w:p>
    <w:p w14:paraId="721854F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如无特殊情况，甲方应按合同约定及时向乙方支付服务费。</w:t>
      </w:r>
    </w:p>
    <w:p w14:paraId="474DFCB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甲方根据实际运营情况制定岗位设置及运行方式，有权要求乙方对岗位进行调整，有权要求乙方更换不称职服务人员，乙方应在3个工作日内完成人员调换。乙方主管以上（含主管）管理人员配备必须经甲方认可，甲方有权提出意见要求乙方调换不满意的乙方人员。</w:t>
      </w:r>
    </w:p>
    <w:p w14:paraId="67CBB2D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甲方就本合同约定项目范围内对乙方日常服务工作、人员管理享有监督权、建议权、检查权、考核权，甲方对乙方工作进行不定期品质检查，发现问题乙方需及时改正。</w:t>
      </w:r>
    </w:p>
    <w:p w14:paraId="08D34F6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、甲方应尊重乙方服务人员的人格，对有过错人员可提出批评或处罚，或向其主管领导提出反映，不得采取呵斥、辱骂等职业歧视行为。</w:t>
      </w:r>
    </w:p>
    <w:p w14:paraId="358A837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5、甲方投资购置的资产，其所有权、处置权归属甲方。乙方购置的资产，其所有权、处置权归属乙方。</w:t>
      </w:r>
    </w:p>
    <w:p w14:paraId="7DCCF71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sz w:val="24"/>
          <w:szCs w:val="24"/>
          <w:lang w:val="zh-CN"/>
        </w:rPr>
        <w:t>6、甲方若发现乙方工作人员偷窃服务场所财产、勾结外人合伙盗窃,将采取相关法律程序进行处理,乙方应赔偿由此给甲方造成的相应损失,甲方可自行在乙方的服务费用中直接扣除。</w:t>
      </w:r>
    </w:p>
    <w:p w14:paraId="2DCEF81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乙方权利和义务</w:t>
      </w:r>
    </w:p>
    <w:p w14:paraId="39C9F0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根据有关法律、法规政策及本合同规定，制订相应的管理办法、规章制度、实施细则。</w:t>
      </w:r>
    </w:p>
    <w:p w14:paraId="0201DD4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乙方必须遵守</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有关管理规定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接受</w:t>
      </w:r>
      <w:r>
        <w:rPr>
          <w:rFonts w:hint="eastAsia" w:asciiTheme="minorEastAsia" w:hAnsiTheme="minorEastAsia" w:eastAsiaTheme="minorEastAsia" w:cstheme="minorEastAsia"/>
          <w:sz w:val="24"/>
          <w:szCs w:val="24"/>
          <w:lang w:eastAsia="zh-CN"/>
        </w:rPr>
        <w:t>相关</w:t>
      </w:r>
      <w:r>
        <w:rPr>
          <w:rFonts w:hint="eastAsia" w:asciiTheme="minorEastAsia" w:hAnsiTheme="minorEastAsia" w:eastAsiaTheme="minorEastAsia" w:cstheme="minorEastAsia"/>
          <w:sz w:val="24"/>
          <w:szCs w:val="24"/>
        </w:rPr>
        <w:t>管理主管部门及有关政府部门的监督、指导，并接受甲方的监督，做好客户满意度回访等工作，协助甲方调查、</w:t>
      </w:r>
      <w:r>
        <w:rPr>
          <w:rFonts w:hint="eastAsia" w:asciiTheme="minorEastAsia" w:hAnsiTheme="minorEastAsia" w:eastAsiaTheme="minorEastAsia" w:cstheme="minorEastAsia"/>
          <w:sz w:val="24"/>
          <w:szCs w:val="24"/>
          <w:lang w:eastAsia="zh-CN"/>
        </w:rPr>
        <w:t>取证</w:t>
      </w:r>
      <w:r>
        <w:rPr>
          <w:rFonts w:hint="eastAsia" w:asciiTheme="minorEastAsia" w:hAnsiTheme="minorEastAsia" w:eastAsiaTheme="minorEastAsia" w:cstheme="minorEastAsia"/>
          <w:sz w:val="24"/>
          <w:szCs w:val="24"/>
        </w:rPr>
        <w:t>有关投诉，并根据甲方要求及时处理。</w:t>
      </w:r>
    </w:p>
    <w:p w14:paraId="2922A74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zh-CN"/>
        </w:rPr>
        <w:t>乙方必须取得合法经营执照及</w:t>
      </w:r>
      <w:r>
        <w:rPr>
          <w:rFonts w:hint="eastAsia" w:asciiTheme="minorEastAsia" w:hAnsiTheme="minorEastAsia" w:eastAsiaTheme="minorEastAsia" w:cstheme="minorEastAsia"/>
          <w:sz w:val="24"/>
          <w:szCs w:val="24"/>
        </w:rPr>
        <w:t>相应的资质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工作人员必须持有有效的资格证书及岗位证书上岗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zh-CN" w:eastAsia="zh-CN"/>
        </w:rPr>
        <w:t>以便配合各级领导检查，如因违反相关部门要求所发生的罚款、其他费用、责任均由乙方承担。</w:t>
      </w:r>
    </w:p>
    <w:p w14:paraId="253FB91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乙方应保证派往甲方提供服务的人员身体健康，</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sz w:val="24"/>
          <w:szCs w:val="24"/>
        </w:rPr>
        <w:t>取得卫生防疫部门健康证</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服务</w:t>
      </w:r>
      <w:r>
        <w:rPr>
          <w:rFonts w:hint="eastAsia" w:asciiTheme="minorEastAsia" w:hAnsiTheme="minorEastAsia" w:eastAsiaTheme="minorEastAsia" w:cstheme="minorEastAsia"/>
          <w:sz w:val="24"/>
          <w:szCs w:val="24"/>
          <w:lang w:eastAsia="zh-CN"/>
        </w:rPr>
        <w:t>人员</w:t>
      </w:r>
      <w:r>
        <w:rPr>
          <w:rFonts w:hint="eastAsia" w:asciiTheme="minorEastAsia" w:hAnsiTheme="minorEastAsia" w:eastAsiaTheme="minorEastAsia" w:cstheme="minorEastAsia"/>
          <w:sz w:val="24"/>
          <w:szCs w:val="24"/>
        </w:rPr>
        <w:t>工作时要着统一样式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标识的工作装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业务素质高，职业道德好，无不适应服务工作的传染性疾病。</w:t>
      </w:r>
    </w:p>
    <w:p w14:paraId="6ED8F0F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乙方应加强对服务人员的教育和管理，定期或不定期进行检查督导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zh-CN"/>
        </w:rPr>
        <w:t>服务过程中,负责本项目服务</w:t>
      </w:r>
      <w:r>
        <w:rPr>
          <w:rFonts w:hint="eastAsia" w:asciiTheme="minorEastAsia" w:hAnsiTheme="minorEastAsia" w:eastAsiaTheme="minorEastAsia" w:cstheme="minorEastAsia"/>
          <w:sz w:val="24"/>
          <w:szCs w:val="24"/>
          <w:lang w:val="en-US" w:eastAsia="zh-CN"/>
        </w:rPr>
        <w:t>人员</w:t>
      </w:r>
      <w:r>
        <w:rPr>
          <w:rFonts w:hint="eastAsia" w:asciiTheme="minorEastAsia" w:hAnsiTheme="minorEastAsia" w:eastAsiaTheme="minorEastAsia" w:cstheme="minorEastAsia"/>
          <w:sz w:val="24"/>
          <w:szCs w:val="24"/>
          <w:lang w:val="zh-CN"/>
        </w:rPr>
        <w:t>的组织、管理、监督并随时与甲方项目负责人保持联络,</w:t>
      </w:r>
      <w:r>
        <w:rPr>
          <w:rFonts w:hint="eastAsia" w:asciiTheme="minorEastAsia" w:hAnsiTheme="minorEastAsia" w:eastAsiaTheme="minorEastAsia" w:cstheme="minorEastAsia"/>
          <w:sz w:val="24"/>
          <w:szCs w:val="24"/>
          <w:lang w:val="en-US" w:eastAsia="zh-CN"/>
        </w:rPr>
        <w:t>征求甲方</w:t>
      </w:r>
      <w:r>
        <w:rPr>
          <w:rFonts w:hint="eastAsia" w:asciiTheme="minorEastAsia" w:hAnsiTheme="minorEastAsia" w:eastAsiaTheme="minorEastAsia" w:cstheme="minorEastAsia"/>
          <w:sz w:val="24"/>
          <w:szCs w:val="24"/>
        </w:rPr>
        <w:t>意见和建议，及时处理存在的问题，</w:t>
      </w:r>
      <w:r>
        <w:rPr>
          <w:rFonts w:hint="eastAsia" w:asciiTheme="minorEastAsia" w:hAnsiTheme="minorEastAsia" w:eastAsiaTheme="minorEastAsia" w:cstheme="minorEastAsia"/>
          <w:sz w:val="24"/>
          <w:szCs w:val="24"/>
          <w:lang w:val="zh-CN"/>
        </w:rPr>
        <w:t>接受甲方业务指导，</w:t>
      </w:r>
      <w:r>
        <w:rPr>
          <w:rFonts w:hint="eastAsia" w:asciiTheme="minorEastAsia" w:hAnsiTheme="minorEastAsia" w:eastAsiaTheme="minorEastAsia" w:cstheme="minorEastAsia"/>
          <w:sz w:val="24"/>
          <w:szCs w:val="24"/>
        </w:rPr>
        <w:t>确保服务符合</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标准。</w:t>
      </w:r>
    </w:p>
    <w:p w14:paraId="5A8DA71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乙方要做好员工岗前培训、在职培训及安全普及等工作，培训工作每月至少一次，并做好相关记录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乙方相关人员除参加本部门的岗位培训外，须参加</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组织的</w:t>
      </w:r>
      <w:r>
        <w:rPr>
          <w:rFonts w:hint="eastAsia" w:asciiTheme="minorEastAsia" w:hAnsiTheme="minorEastAsia" w:eastAsiaTheme="minorEastAsia" w:cstheme="minorEastAsia"/>
          <w:sz w:val="24"/>
          <w:szCs w:val="24"/>
          <w:lang w:eastAsia="zh-CN"/>
        </w:rPr>
        <w:t>各项</w:t>
      </w:r>
      <w:r>
        <w:rPr>
          <w:rFonts w:hint="eastAsia" w:asciiTheme="minorEastAsia" w:hAnsiTheme="minorEastAsia" w:eastAsiaTheme="minorEastAsia" w:cstheme="minorEastAsia"/>
          <w:sz w:val="24"/>
          <w:szCs w:val="24"/>
        </w:rPr>
        <w:t>培训。乙方员工应自觉保持自身良好形象，提高服务意识。</w:t>
      </w:r>
    </w:p>
    <w:p w14:paraId="73D5EF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完成</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交办的临时性任务，不得无故拖延。配合</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接受相关部门的监督和检查，在服务期内发生各类检查（如上级部门来</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检查、迎接评审等），乙方须无条件配合</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做好迎检工作，甲方不再向乙方另外支付加班费。</w:t>
      </w:r>
    </w:p>
    <w:p w14:paraId="41DE816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未经甲方同意，乙方不得以任何形式转租、转让、抵押承包区域及承包合同内容，在承包区域内只从事甲方认可的承包工作；否则甲方有权单方面终止合同，并保留进一步追究乙方责任的权利。在承包期间，乙方任何重大变动或法律事宜均应及时通知甲方。</w:t>
      </w:r>
    </w:p>
    <w:p w14:paraId="5BC5ABA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乙方须建立本项目管理档案并负责及时记录有关变更情况，在合同期满时，乙方必须向甲方移交原委托管理的全部管理档案资料、财产等</w:t>
      </w:r>
      <w:r>
        <w:rPr>
          <w:rFonts w:hint="eastAsia" w:asciiTheme="minorEastAsia" w:hAnsiTheme="minorEastAsia" w:eastAsiaTheme="minorEastAsia" w:cstheme="minorEastAsia"/>
          <w:sz w:val="24"/>
          <w:szCs w:val="24"/>
          <w:lang w:eastAsia="zh-CN"/>
        </w:rPr>
        <w:t>。</w:t>
      </w:r>
    </w:p>
    <w:p w14:paraId="0CACFF9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乙方要教育服务人员具有高度责任心，文明操作</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爱护甲方设施和物品，如因人为损坏，乙方应予以赔偿。</w:t>
      </w:r>
    </w:p>
    <w:p w14:paraId="7166CC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11、在合同服务期限内</w:t>
      </w:r>
      <w:r>
        <w:rPr>
          <w:rFonts w:hint="eastAsia" w:asciiTheme="minorEastAsia" w:hAnsiTheme="minorEastAsia" w:eastAsiaTheme="minorEastAsia" w:cstheme="minorEastAsia"/>
          <w:sz w:val="24"/>
          <w:szCs w:val="24"/>
        </w:rPr>
        <w:t>,乙方派遣的人员因执行本合同约定的事务与任何第三方发生纠纷,或造成他人伤亡的,均由乙方负责解决,所产生的赔偿费用,由乙方承担。</w:t>
      </w:r>
    </w:p>
    <w:p w14:paraId="6C424C5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在合同服务期限内乙方全部服务人员发生的工伤、意外伤害、伤亡或财产损失等一切安全事故以及所有纠纷的全部责任与相关费用，都由乙方承担和处理，与甲方无关。在安全事故、劳动纠纷发生的当月甲方有权停止支付乙方服务费，直至事故、纠纷处理或损失赔偿完毕后，恢复正常支付程序。</w:t>
      </w:r>
    </w:p>
    <w:p w14:paraId="27624DD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、乙方与其服务人员</w:t>
      </w:r>
      <w:r>
        <w:rPr>
          <w:rFonts w:hint="eastAsia" w:asciiTheme="minorEastAsia" w:hAnsiTheme="minorEastAsia" w:eastAsiaTheme="minorEastAsia" w:cstheme="minorEastAsia"/>
          <w:sz w:val="24"/>
          <w:szCs w:val="24"/>
          <w:lang w:eastAsia="zh-CN"/>
        </w:rPr>
        <w:t>应签订劳动合同，</w:t>
      </w:r>
      <w:r>
        <w:rPr>
          <w:rFonts w:hint="eastAsia" w:asciiTheme="minorEastAsia" w:hAnsiTheme="minorEastAsia" w:eastAsiaTheme="minorEastAsia" w:cstheme="minorEastAsia"/>
          <w:sz w:val="24"/>
          <w:szCs w:val="24"/>
          <w:lang w:val="en-US" w:eastAsia="zh-CN"/>
        </w:rPr>
        <w:t>应</w:t>
      </w:r>
      <w:r>
        <w:rPr>
          <w:rFonts w:hint="eastAsia" w:asciiTheme="minorEastAsia" w:hAnsiTheme="minorEastAsia" w:eastAsiaTheme="minorEastAsia" w:cstheme="minorEastAsia"/>
          <w:sz w:val="24"/>
          <w:szCs w:val="24"/>
          <w:lang w:eastAsia="zh-CN"/>
        </w:rPr>
        <w:t>按时足额支付工作人员的工资、保险和基本的福利费用和其他待遇。乙方与其服务人员产生的各种争议、纠纷、</w:t>
      </w:r>
      <w:r>
        <w:rPr>
          <w:rFonts w:hint="eastAsia" w:asciiTheme="minorEastAsia" w:hAnsiTheme="minorEastAsia" w:eastAsiaTheme="minorEastAsia" w:cstheme="minorEastAsia"/>
          <w:sz w:val="24"/>
          <w:szCs w:val="24"/>
        </w:rPr>
        <w:t>索赔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诉求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包括但不限于劳动纠纷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或受到行政部门的管制或处罚，均由乙方负责解决并全额赔偿。</w:t>
      </w:r>
    </w:p>
    <w:p w14:paraId="5E6070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工作期间由于乙方工作人员处理不当引起纠纷,乙方公司出面协调处理,甲方不负责处理纠纷,如果当事人对乙方公司的处理意见不满意,导致媒体、电视台等新闻</w:t>
      </w:r>
      <w:r>
        <w:rPr>
          <w:rFonts w:hint="eastAsia" w:asciiTheme="minorEastAsia" w:hAnsiTheme="minorEastAsia" w:eastAsiaTheme="minorEastAsia" w:cstheme="minorEastAsia"/>
          <w:sz w:val="24"/>
          <w:szCs w:val="24"/>
          <w:lang w:eastAsia="zh-CN"/>
        </w:rPr>
        <w:t>平台</w:t>
      </w:r>
      <w:r>
        <w:rPr>
          <w:rFonts w:hint="eastAsia" w:asciiTheme="minorEastAsia" w:hAnsiTheme="minorEastAsia" w:eastAsiaTheme="minorEastAsia" w:cstheme="minorEastAsia"/>
          <w:sz w:val="24"/>
          <w:szCs w:val="24"/>
        </w:rPr>
        <w:t>的曝光,甲方有权追究由此对甲方带来的损失及影响。</w:t>
      </w:r>
    </w:p>
    <w:p w14:paraId="3034BA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lang w:eastAsia="zh-CN"/>
        </w:rPr>
        <w:t>在乙方执行业务过程中,如发现任何有可能危害项目服务地的事件,即使不属乙方业务范围之内,乙方也有责任采取规定限度内的合法行为以避免或及时终止该危害事件的发生或继续,同时立即</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"http://www.fdcew.com/gw/List_202.html" \t "_blank"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报告</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甲方有关人员或公安主管部门。</w:t>
      </w:r>
    </w:p>
    <w:p w14:paraId="7DFF17B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乙方应教育</w:t>
      </w:r>
      <w:r>
        <w:rPr>
          <w:rFonts w:hint="eastAsia" w:asciiTheme="minorEastAsia" w:hAnsiTheme="minorEastAsia" w:eastAsiaTheme="minorEastAsia" w:cstheme="minorEastAsia"/>
          <w:sz w:val="24"/>
          <w:szCs w:val="24"/>
          <w:lang w:eastAsia="zh-CN"/>
        </w:rPr>
        <w:t>所有服务</w:t>
      </w:r>
      <w:r>
        <w:rPr>
          <w:rFonts w:hint="eastAsia" w:asciiTheme="minorEastAsia" w:hAnsiTheme="minorEastAsia" w:eastAsiaTheme="minorEastAsia" w:cstheme="minorEastAsia"/>
          <w:sz w:val="24"/>
          <w:szCs w:val="24"/>
        </w:rPr>
        <w:t>人员遵守</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有关制度和管理要求，</w:t>
      </w:r>
      <w:r>
        <w:rPr>
          <w:rFonts w:hint="eastAsia" w:asciiTheme="minorEastAsia" w:hAnsiTheme="minorEastAsia" w:eastAsiaTheme="minorEastAsia" w:cstheme="minorEastAsia"/>
          <w:sz w:val="24"/>
          <w:szCs w:val="24"/>
          <w:lang w:eastAsia="zh-CN"/>
        </w:rPr>
        <w:t>操作当中不影响项目的正</w:t>
      </w:r>
      <w:r>
        <w:rPr>
          <w:rFonts w:hint="eastAsia" w:asciiTheme="minorEastAsia" w:hAnsiTheme="minorEastAsia" w:eastAsiaTheme="minorEastAsia" w:cstheme="minorEastAsia"/>
          <w:sz w:val="24"/>
          <w:szCs w:val="24"/>
        </w:rPr>
        <w:t>常工作</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自觉保守甲方</w:t>
      </w:r>
      <w:r>
        <w:rPr>
          <w:rFonts w:hint="eastAsia" w:asciiTheme="minorEastAsia" w:hAnsiTheme="minorEastAsia" w:eastAsiaTheme="minorEastAsia" w:cstheme="minorEastAsia"/>
          <w:sz w:val="24"/>
          <w:szCs w:val="24"/>
          <w:lang w:eastAsia="zh-CN"/>
        </w:rPr>
        <w:t>及项目</w:t>
      </w:r>
      <w:r>
        <w:rPr>
          <w:rFonts w:hint="eastAsia" w:asciiTheme="minorEastAsia" w:hAnsiTheme="minorEastAsia" w:eastAsiaTheme="minorEastAsia" w:cstheme="minorEastAsia"/>
          <w:sz w:val="24"/>
          <w:szCs w:val="24"/>
        </w:rPr>
        <w:t>秘密，</w:t>
      </w:r>
      <w:r>
        <w:rPr>
          <w:rFonts w:hint="eastAsia" w:asciiTheme="minorEastAsia" w:hAnsiTheme="minorEastAsia" w:eastAsiaTheme="minorEastAsia" w:cstheme="minorEastAsia"/>
          <w:sz w:val="24"/>
          <w:szCs w:val="24"/>
          <w:lang w:eastAsia="zh-CN"/>
        </w:rPr>
        <w:t>不向外传播项目内情况，本条款在本合同有效期内及终止后一直有效</w:t>
      </w:r>
      <w:r>
        <w:rPr>
          <w:rFonts w:hint="eastAsia" w:asciiTheme="minorEastAsia" w:hAnsiTheme="minorEastAsia" w:eastAsiaTheme="minorEastAsia" w:cstheme="minorEastAsia"/>
          <w:sz w:val="24"/>
          <w:szCs w:val="24"/>
        </w:rPr>
        <w:t>。</w:t>
      </w:r>
    </w:p>
    <w:p w14:paraId="38ACF8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由于乙方在日常经营活动中出现的与甲方无关的、违反国家相关政策和规定的一切行为，均与甲方无关，甲方不承担任何相关的责任和义务。</w:t>
      </w:r>
    </w:p>
    <w:p w14:paraId="5659A4F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18、本合同终止后，新服务企业接管本项目之前，乙方有义务继续为甲方提供该服务项目，甲方应继续给付相应的服务费用，延期一般不超过90天。</w:t>
      </w:r>
    </w:p>
    <w:p w14:paraId="3AB485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第六条服务考核办法</w:t>
      </w:r>
    </w:p>
    <w:p w14:paraId="4B252B2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sz w:val="24"/>
          <w:szCs w:val="24"/>
          <w:lang w:val="en-US" w:eastAsia="zh-CN"/>
        </w:rPr>
        <w:t>一、乙方须按约定，实现目标管理，并接受甲方考核，甲方根据考核情况支付乙方服务费用。</w:t>
      </w:r>
      <w:r>
        <w:rPr>
          <w:rFonts w:hint="eastAsia" w:asciiTheme="minorEastAsia" w:hAnsiTheme="minorEastAsia" w:eastAsiaTheme="minorEastAsia" w:cstheme="minorEastAsia"/>
          <w:b/>
          <w:bCs/>
          <w:color w:val="000000"/>
          <w:kern w:val="0"/>
          <w:sz w:val="24"/>
          <w:szCs w:val="24"/>
          <w:lang w:val="en-US" w:eastAsia="zh-CN"/>
        </w:rPr>
        <w:t>甲方</w:t>
      </w:r>
      <w:r>
        <w:rPr>
          <w:rFonts w:hint="eastAsia" w:asciiTheme="minorEastAsia" w:hAnsiTheme="minorEastAsia" w:eastAsiaTheme="minorEastAsia" w:cstheme="minorEastAsia"/>
          <w:b/>
          <w:bCs/>
          <w:color w:val="000000"/>
          <w:kern w:val="0"/>
          <w:sz w:val="24"/>
          <w:szCs w:val="24"/>
          <w:lang w:eastAsia="zh-CN"/>
        </w:rPr>
        <w:t>根据附件中《绩效评价及标准》进行考核，每</w:t>
      </w:r>
      <w:r>
        <w:rPr>
          <w:rFonts w:hint="eastAsia" w:asciiTheme="minorEastAsia" w:hAnsiTheme="minorEastAsia" w:eastAsiaTheme="minorEastAsia" w:cstheme="minorEastAsia"/>
          <w:b/>
          <w:bCs/>
          <w:color w:val="000000"/>
          <w:kern w:val="0"/>
          <w:sz w:val="24"/>
          <w:szCs w:val="24"/>
          <w:lang w:val="en-US" w:eastAsia="zh-CN"/>
        </w:rPr>
        <w:t>月</w:t>
      </w:r>
      <w:r>
        <w:rPr>
          <w:rFonts w:hint="eastAsia" w:asciiTheme="minorEastAsia" w:hAnsiTheme="minorEastAsia" w:eastAsiaTheme="minorEastAsia" w:cstheme="minorEastAsia"/>
          <w:b/>
          <w:bCs/>
          <w:color w:val="000000"/>
          <w:kern w:val="0"/>
          <w:sz w:val="24"/>
          <w:szCs w:val="24"/>
          <w:lang w:eastAsia="zh-CN"/>
        </w:rPr>
        <w:t>为一个考核周期，按年度结算。且实际支付服务费的数额与服务方</w:t>
      </w:r>
      <w:r>
        <w:rPr>
          <w:rFonts w:hint="eastAsia" w:asciiTheme="minorEastAsia" w:hAnsiTheme="minorEastAsia" w:eastAsiaTheme="minorEastAsia" w:cstheme="minorEastAsia"/>
          <w:b/>
          <w:bCs/>
          <w:color w:val="000000"/>
          <w:kern w:val="0"/>
          <w:sz w:val="24"/>
          <w:szCs w:val="24"/>
          <w:lang w:val="en-US" w:eastAsia="zh-CN"/>
        </w:rPr>
        <w:t>季度</w:t>
      </w:r>
      <w:r>
        <w:rPr>
          <w:rFonts w:hint="eastAsia" w:asciiTheme="minorEastAsia" w:hAnsiTheme="minorEastAsia" w:eastAsiaTheme="minorEastAsia" w:cstheme="minorEastAsia"/>
          <w:b/>
          <w:bCs/>
          <w:color w:val="000000"/>
          <w:kern w:val="0"/>
          <w:sz w:val="24"/>
          <w:szCs w:val="24"/>
          <w:lang w:eastAsia="zh-CN"/>
        </w:rPr>
        <w:t>考核得分相结合。</w:t>
      </w:r>
    </w:p>
    <w:tbl>
      <w:tblPr>
        <w:tblStyle w:val="1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966"/>
        <w:gridCol w:w="6000"/>
      </w:tblGrid>
      <w:tr w14:paraId="1AEB8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654" w:type="pct"/>
            <w:shd w:val="clear" w:color="auto" w:fill="93CDDD"/>
            <w:vAlign w:val="center"/>
          </w:tcPr>
          <w:p w14:paraId="1543C3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每月综合考核评分</w:t>
            </w:r>
          </w:p>
        </w:tc>
        <w:tc>
          <w:tcPr>
            <w:tcW w:w="3345" w:type="pct"/>
            <w:shd w:val="clear" w:color="auto" w:fill="93CDDD"/>
            <w:vAlign w:val="center"/>
          </w:tcPr>
          <w:p w14:paraId="4AE21A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支付服务费比例</w:t>
            </w:r>
          </w:p>
        </w:tc>
      </w:tr>
      <w:tr w14:paraId="73064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2966" w:type="dxa"/>
            <w:vAlign w:val="center"/>
          </w:tcPr>
          <w:p w14:paraId="681C80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大于等于90分</w:t>
            </w:r>
          </w:p>
        </w:tc>
        <w:tc>
          <w:tcPr>
            <w:tcW w:w="6000" w:type="dxa"/>
            <w:vAlign w:val="center"/>
          </w:tcPr>
          <w:p w14:paraId="5077A8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全额支付</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服务费</w:t>
            </w:r>
          </w:p>
        </w:tc>
      </w:tr>
      <w:tr w14:paraId="08FED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966" w:type="dxa"/>
            <w:vAlign w:val="center"/>
          </w:tcPr>
          <w:p w14:paraId="6C1A9E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小于90分，大于等于</w:t>
            </w:r>
            <w:r>
              <w:rPr>
                <w:rFonts w:hint="eastAsia" w:asciiTheme="minorEastAsia" w:hAnsiTheme="minorEastAsia" w:eastAsiaTheme="minorEastAsia" w:cstheme="minorEastAsia"/>
                <w:color w:val="000000"/>
                <w:kern w:val="0"/>
                <w:sz w:val="24"/>
                <w:szCs w:val="24"/>
                <w:lang w:val="en-US" w:eastAsia="zh-CN"/>
              </w:rPr>
              <w:t>80</w:t>
            </w:r>
            <w:r>
              <w:rPr>
                <w:rFonts w:hint="eastAsia" w:asciiTheme="minorEastAsia" w:hAnsiTheme="minorEastAsia" w:eastAsiaTheme="minorEastAsia" w:cstheme="minorEastAsia"/>
                <w:color w:val="000000"/>
                <w:kern w:val="0"/>
                <w:sz w:val="24"/>
                <w:szCs w:val="24"/>
                <w:lang w:eastAsia="zh-CN"/>
              </w:rPr>
              <w:t>分</w:t>
            </w:r>
          </w:p>
        </w:tc>
        <w:tc>
          <w:tcPr>
            <w:tcW w:w="6000" w:type="dxa"/>
            <w:vAlign w:val="center"/>
          </w:tcPr>
          <w:p w14:paraId="0BD562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应付服务费的5%</w:t>
            </w:r>
          </w:p>
        </w:tc>
      </w:tr>
      <w:tr w14:paraId="6B674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66" w:type="dxa"/>
            <w:vAlign w:val="center"/>
          </w:tcPr>
          <w:p w14:paraId="01F33A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小于</w:t>
            </w:r>
            <w:r>
              <w:rPr>
                <w:rFonts w:hint="eastAsia" w:asciiTheme="minorEastAsia" w:hAnsiTheme="minorEastAsia" w:eastAsiaTheme="minorEastAsia" w:cstheme="minorEastAsia"/>
                <w:color w:val="000000"/>
                <w:kern w:val="0"/>
                <w:sz w:val="24"/>
                <w:szCs w:val="24"/>
                <w:lang w:val="en-US" w:eastAsia="zh-CN"/>
              </w:rPr>
              <w:t>8</w:t>
            </w:r>
            <w:r>
              <w:rPr>
                <w:rFonts w:hint="eastAsia" w:asciiTheme="minorEastAsia" w:hAnsiTheme="minorEastAsia" w:eastAsiaTheme="minorEastAsia" w:cstheme="minorEastAsia"/>
                <w:color w:val="000000"/>
                <w:kern w:val="0"/>
                <w:sz w:val="24"/>
                <w:szCs w:val="24"/>
                <w:lang w:eastAsia="zh-CN"/>
              </w:rPr>
              <w:t>0分，大于等于</w:t>
            </w:r>
            <w:r>
              <w:rPr>
                <w:rFonts w:hint="eastAsia" w:asciiTheme="minorEastAsia" w:hAnsiTheme="minorEastAsia" w:eastAsiaTheme="minorEastAsia" w:cstheme="minorEastAsia"/>
                <w:color w:val="000000"/>
                <w:kern w:val="0"/>
                <w:sz w:val="24"/>
                <w:szCs w:val="24"/>
                <w:lang w:val="en-US" w:eastAsia="zh-CN"/>
              </w:rPr>
              <w:t>70</w:t>
            </w:r>
            <w:r>
              <w:rPr>
                <w:rFonts w:hint="eastAsia" w:asciiTheme="minorEastAsia" w:hAnsiTheme="minorEastAsia" w:eastAsiaTheme="minorEastAsia" w:cstheme="minorEastAsia"/>
                <w:color w:val="000000"/>
                <w:kern w:val="0"/>
                <w:sz w:val="24"/>
                <w:szCs w:val="24"/>
                <w:lang w:eastAsia="zh-CN"/>
              </w:rPr>
              <w:t>分</w:t>
            </w:r>
          </w:p>
        </w:tc>
        <w:tc>
          <w:tcPr>
            <w:tcW w:w="6000" w:type="dxa"/>
            <w:vAlign w:val="center"/>
          </w:tcPr>
          <w:p w14:paraId="097C57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应付服务费的10%</w:t>
            </w:r>
          </w:p>
        </w:tc>
      </w:tr>
      <w:tr w14:paraId="5F8EE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66" w:type="dxa"/>
            <w:vAlign w:val="center"/>
          </w:tcPr>
          <w:p w14:paraId="3EC900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eastAsia="zh-CN"/>
              </w:rPr>
              <w:t>小于</w:t>
            </w:r>
            <w:r>
              <w:rPr>
                <w:rFonts w:hint="eastAsia" w:asciiTheme="minorEastAsia" w:hAnsiTheme="minorEastAsia" w:eastAsiaTheme="minorEastAsia" w:cstheme="minorEastAsia"/>
                <w:color w:val="000000"/>
                <w:kern w:val="0"/>
                <w:sz w:val="24"/>
                <w:szCs w:val="24"/>
                <w:lang w:val="en-US" w:eastAsia="zh-CN"/>
              </w:rPr>
              <w:t>70分</w:t>
            </w:r>
          </w:p>
        </w:tc>
        <w:tc>
          <w:tcPr>
            <w:tcW w:w="6000" w:type="dxa"/>
            <w:vAlign w:val="center"/>
          </w:tcPr>
          <w:p w14:paraId="213D09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将要求</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对相关工作进行限期整改，整改后经随机抽查达到良好情形的，扣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应付服务费的15%；经过限期整改仍达不到良好情形的或拒不整改的，</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有权终止合同，</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相关损失由</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承担。</w:t>
            </w:r>
          </w:p>
        </w:tc>
      </w:tr>
    </w:tbl>
    <w:p w14:paraId="0419729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b/>
          <w:bCs/>
          <w:sz w:val="24"/>
          <w:szCs w:val="24"/>
          <w:highlight w:val="yellow"/>
        </w:rPr>
      </w:pPr>
      <w:r>
        <w:rPr>
          <w:rFonts w:hint="eastAsia" w:asciiTheme="minorEastAsia" w:hAnsiTheme="minorEastAsia" w:eastAsiaTheme="minorEastAsia" w:cstheme="minorEastAsia"/>
          <w:color w:val="000000"/>
          <w:kern w:val="0"/>
          <w:sz w:val="24"/>
          <w:szCs w:val="24"/>
          <w:lang w:eastAsia="zh-CN"/>
        </w:rPr>
        <w:t>二、</w:t>
      </w:r>
      <w:r>
        <w:rPr>
          <w:rFonts w:hint="eastAsia" w:asciiTheme="minorEastAsia" w:hAnsiTheme="minorEastAsia" w:eastAsiaTheme="minorEastAsia" w:cstheme="minorEastAsia"/>
          <w:color w:val="000000"/>
          <w:kern w:val="0"/>
          <w:sz w:val="24"/>
          <w:szCs w:val="24"/>
          <w:highlight w:val="none"/>
          <w:lang w:eastAsia="zh-CN"/>
        </w:rPr>
        <w:t>甲方</w:t>
      </w:r>
      <w:r>
        <w:rPr>
          <w:rFonts w:hint="eastAsia" w:asciiTheme="minorEastAsia" w:hAnsiTheme="minorEastAsia" w:eastAsiaTheme="minorEastAsia" w:cstheme="minorEastAsia"/>
          <w:color w:val="000000"/>
          <w:kern w:val="0"/>
          <w:sz w:val="24"/>
          <w:szCs w:val="24"/>
          <w:lang w:eastAsia="zh-CN"/>
        </w:rPr>
        <w:t>服务考核以甲方考核制度为准，考核制度解释权归甲方所有。</w:t>
      </w:r>
    </w:p>
    <w:p w14:paraId="4DF2F792">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color w:val="000000"/>
          <w:kern w:val="0"/>
          <w:sz w:val="24"/>
          <w:szCs w:val="24"/>
          <w:highlight w:val="none"/>
          <w:lang w:eastAsia="zh-CN"/>
        </w:rPr>
        <w:t>第七条违约责任</w:t>
      </w:r>
    </w:p>
    <w:p w14:paraId="6EC5113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一、</w:t>
      </w:r>
      <w:r>
        <w:rPr>
          <w:rFonts w:hint="eastAsia" w:asciiTheme="minorEastAsia" w:hAnsiTheme="minorEastAsia" w:eastAsiaTheme="minorEastAsia" w:cstheme="minorEastAsia"/>
          <w:sz w:val="24"/>
          <w:szCs w:val="24"/>
          <w:highlight w:val="none"/>
        </w:rPr>
        <w:t>如果甲方不再承担该项目的服务，届时本合同自动解除，双方均不承担违约责任。</w:t>
      </w:r>
    </w:p>
    <w:p w14:paraId="044D852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二、</w:t>
      </w:r>
      <w:r>
        <w:rPr>
          <w:rFonts w:hint="eastAsia" w:asciiTheme="minorEastAsia" w:hAnsiTheme="minorEastAsia" w:eastAsiaTheme="minorEastAsia" w:cstheme="minorEastAsia"/>
          <w:color w:val="000000"/>
          <w:kern w:val="0"/>
          <w:sz w:val="24"/>
          <w:szCs w:val="24"/>
        </w:rPr>
        <w:t>乙方有下列情形之一的,甲方可解除本合同,因乙方原因给甲方造成损失的,乙方应负赔偿责任,且甲方无须向乙方支付报酬:</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乙方擅自调离</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人员的</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乙方派遣的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w:t>
      </w:r>
      <w:r>
        <w:rPr>
          <w:rFonts w:hint="eastAsia" w:asciiTheme="minorEastAsia" w:hAnsiTheme="minorEastAsia" w:eastAsiaTheme="minorEastAsia" w:cstheme="minorEastAsia"/>
          <w:color w:val="000000"/>
          <w:kern w:val="0"/>
          <w:sz w:val="24"/>
          <w:szCs w:val="24"/>
          <w:lang w:eastAsia="zh-CN"/>
        </w:rPr>
        <w:t>缺岗或</w:t>
      </w:r>
      <w:r>
        <w:rPr>
          <w:rFonts w:hint="eastAsia" w:asciiTheme="minorEastAsia" w:hAnsiTheme="minorEastAsia" w:eastAsiaTheme="minorEastAsia" w:cstheme="minorEastAsia"/>
          <w:color w:val="000000"/>
          <w:kern w:val="0"/>
          <w:sz w:val="24"/>
          <w:szCs w:val="24"/>
        </w:rPr>
        <w:t>无故离岗</w:t>
      </w:r>
      <w:r>
        <w:rPr>
          <w:rFonts w:hint="eastAsia" w:asciiTheme="minorEastAsia" w:hAnsiTheme="minorEastAsia" w:eastAsiaTheme="minorEastAsia" w:cstheme="minorEastAsia"/>
          <w:color w:val="000000"/>
          <w:kern w:val="0"/>
          <w:sz w:val="24"/>
          <w:szCs w:val="24"/>
          <w:lang w:val="en-US" w:eastAsia="zh-CN"/>
        </w:rPr>
        <w:t>24小时</w:t>
      </w:r>
      <w:r>
        <w:rPr>
          <w:rFonts w:hint="eastAsia" w:asciiTheme="minorEastAsia" w:hAnsiTheme="minorEastAsia" w:eastAsiaTheme="minorEastAsia" w:cstheme="minorEastAsia"/>
          <w:color w:val="000000"/>
          <w:kern w:val="0"/>
          <w:sz w:val="24"/>
          <w:szCs w:val="24"/>
        </w:rPr>
        <w:t>以上的</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乙方派遣的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人员不能完成本合同约定事务,经乙方撤换后,重新派遣的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人员仍不能完成本合同约定事务的</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因乙方派遣的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人员故意或者过失给甲方造成损失的</w:t>
      </w:r>
      <w:r>
        <w:rPr>
          <w:rFonts w:hint="eastAsia" w:asciiTheme="minorEastAsia" w:hAnsiTheme="minorEastAsia" w:eastAsiaTheme="minorEastAsia" w:cstheme="minorEastAsia"/>
          <w:color w:val="000000"/>
          <w:kern w:val="0"/>
          <w:sz w:val="24"/>
          <w:szCs w:val="24"/>
          <w:lang w:eastAsia="zh-CN"/>
        </w:rPr>
        <w:t>；</w:t>
      </w:r>
    </w:p>
    <w:p w14:paraId="4D28E4B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lang w:val="en-US" w:eastAsia="zh-CN"/>
        </w:rPr>
        <w:t>5、乙方违反本合同约定的义务，未能在合同生效前取得相应的资质的，造成甲方经济损失的，乙方应给予甲方经济赔偿。</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乙方提供的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达不到甲方要求，限期</w:t>
      </w:r>
      <w:r>
        <w:rPr>
          <w:rFonts w:hint="eastAsia" w:asciiTheme="minorEastAsia" w:hAnsiTheme="minorEastAsia" w:eastAsiaTheme="minorEastAsia" w:cstheme="minorEastAsia"/>
          <w:color w:val="000000"/>
          <w:kern w:val="0"/>
          <w:sz w:val="24"/>
          <w:szCs w:val="24"/>
          <w:lang w:val="en-US" w:eastAsia="zh-CN"/>
        </w:rPr>
        <w:t>30天</w:t>
      </w:r>
      <w:r>
        <w:rPr>
          <w:rFonts w:hint="eastAsia" w:asciiTheme="minorEastAsia" w:hAnsiTheme="minorEastAsia" w:eastAsiaTheme="minorEastAsia" w:cstheme="minorEastAsia"/>
          <w:color w:val="000000"/>
          <w:kern w:val="0"/>
          <w:sz w:val="24"/>
          <w:szCs w:val="24"/>
        </w:rPr>
        <w:t>整改无明显效果</w:t>
      </w:r>
      <w:r>
        <w:rPr>
          <w:rFonts w:hint="eastAsia" w:asciiTheme="minorEastAsia" w:hAnsiTheme="minorEastAsia" w:eastAsiaTheme="minorEastAsia" w:cstheme="minorEastAsia"/>
          <w:color w:val="000000"/>
          <w:kern w:val="0"/>
          <w:sz w:val="24"/>
          <w:szCs w:val="24"/>
          <w:lang w:eastAsia="zh-CN"/>
        </w:rPr>
        <w:t>；或</w:t>
      </w:r>
      <w:r>
        <w:rPr>
          <w:rFonts w:hint="eastAsia" w:asciiTheme="minorEastAsia" w:hAnsiTheme="minorEastAsia" w:eastAsiaTheme="minorEastAsia" w:cstheme="minorEastAsia"/>
          <w:color w:val="000000"/>
          <w:kern w:val="0"/>
          <w:sz w:val="24"/>
          <w:szCs w:val="24"/>
        </w:rPr>
        <w:t>经甲方两次告知,乙方仍不改正的甲方有权解除合同</w:t>
      </w:r>
      <w:r>
        <w:rPr>
          <w:rFonts w:hint="eastAsia" w:asciiTheme="minorEastAsia" w:hAnsiTheme="minorEastAsia" w:eastAsiaTheme="minorEastAsia" w:cstheme="minorEastAsia"/>
          <w:color w:val="000000"/>
          <w:kern w:val="0"/>
          <w:sz w:val="24"/>
          <w:szCs w:val="24"/>
          <w:lang w:eastAsia="zh-CN"/>
        </w:rPr>
        <w:t>并扣除当月服务费用</w:t>
      </w:r>
      <w:r>
        <w:rPr>
          <w:rFonts w:hint="eastAsia" w:asciiTheme="minorEastAsia" w:hAnsiTheme="minorEastAsia" w:eastAsiaTheme="minorEastAsia" w:cstheme="minorEastAsia"/>
          <w:color w:val="000000"/>
          <w:kern w:val="0"/>
          <w:sz w:val="24"/>
          <w:szCs w:val="24"/>
          <w:lang w:val="en-US" w:eastAsia="zh-CN"/>
        </w:rPr>
        <w:t>作为处罚</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rPr>
        <w:t>乙方从事违法犯罪活动的。</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lang w:val="en-US" w:eastAsia="zh-CN"/>
        </w:rPr>
        <w:t>三</w:t>
      </w:r>
      <w:r>
        <w:rPr>
          <w:rFonts w:hint="eastAsia" w:asciiTheme="minorEastAsia" w:hAnsiTheme="minorEastAsia" w:eastAsiaTheme="minorEastAsia" w:cstheme="minorEastAsia"/>
          <w:color w:val="000000"/>
          <w:kern w:val="0"/>
          <w:sz w:val="24"/>
          <w:szCs w:val="24"/>
        </w:rPr>
        <w:t>、甲乙双方应严格履行合同，如乙方提供的服务长期达不到甲方本协议“第</w:t>
      </w:r>
      <w:r>
        <w:rPr>
          <w:rFonts w:hint="eastAsia" w:asciiTheme="minorEastAsia" w:hAnsiTheme="minorEastAsia" w:eastAsiaTheme="minorEastAsia" w:cstheme="minorEastAsia"/>
          <w:color w:val="000000"/>
          <w:kern w:val="0"/>
          <w:sz w:val="24"/>
          <w:szCs w:val="24"/>
          <w:lang w:val="en-US" w:eastAsia="zh-CN"/>
        </w:rPr>
        <w:t>四</w:t>
      </w:r>
      <w:r>
        <w:rPr>
          <w:rFonts w:hint="eastAsia" w:asciiTheme="minorEastAsia" w:hAnsiTheme="minorEastAsia" w:eastAsiaTheme="minorEastAsia" w:cstheme="minorEastAsia"/>
          <w:color w:val="000000"/>
          <w:kern w:val="0"/>
          <w:sz w:val="24"/>
          <w:szCs w:val="24"/>
        </w:rPr>
        <w:t>条”“第</w:t>
      </w:r>
      <w:r>
        <w:rPr>
          <w:rFonts w:hint="eastAsia" w:asciiTheme="minorEastAsia" w:hAnsiTheme="minorEastAsia" w:eastAsiaTheme="minorEastAsia" w:cstheme="minorEastAsia"/>
          <w:color w:val="000000"/>
          <w:kern w:val="0"/>
          <w:sz w:val="24"/>
          <w:szCs w:val="24"/>
          <w:lang w:val="en-US" w:eastAsia="zh-CN"/>
        </w:rPr>
        <w:t>五</w:t>
      </w:r>
      <w:r>
        <w:rPr>
          <w:rFonts w:hint="eastAsia" w:asciiTheme="minorEastAsia" w:hAnsiTheme="minorEastAsia" w:eastAsiaTheme="minorEastAsia" w:cstheme="minorEastAsia"/>
          <w:color w:val="000000"/>
          <w:kern w:val="0"/>
          <w:sz w:val="24"/>
          <w:szCs w:val="24"/>
        </w:rPr>
        <w:t>条</w:t>
      </w:r>
      <w:r>
        <w:rPr>
          <w:rFonts w:hint="eastAsia" w:asciiTheme="minorEastAsia" w:hAnsiTheme="minorEastAsia" w:eastAsiaTheme="minorEastAsia" w:cstheme="minorEastAsia"/>
          <w:color w:val="000000"/>
          <w:kern w:val="0"/>
          <w:sz w:val="24"/>
          <w:szCs w:val="24"/>
          <w:highlight w:val="none"/>
        </w:rPr>
        <w:t>第</w:t>
      </w:r>
      <w:r>
        <w:rPr>
          <w:rFonts w:hint="eastAsia" w:asciiTheme="minorEastAsia" w:hAnsiTheme="minorEastAsia" w:eastAsiaTheme="minorEastAsia" w:cstheme="minorEastAsia"/>
          <w:color w:val="000000"/>
          <w:kern w:val="0"/>
          <w:sz w:val="24"/>
          <w:szCs w:val="24"/>
          <w:highlight w:val="none"/>
          <w:lang w:eastAsia="zh-CN"/>
        </w:rPr>
        <w:t>二</w:t>
      </w:r>
      <w:r>
        <w:rPr>
          <w:rFonts w:hint="eastAsia" w:asciiTheme="minorEastAsia" w:hAnsiTheme="minorEastAsia" w:eastAsiaTheme="minorEastAsia" w:cstheme="minorEastAsia"/>
          <w:color w:val="000000"/>
          <w:kern w:val="0"/>
          <w:sz w:val="24"/>
          <w:szCs w:val="24"/>
          <w:highlight w:val="none"/>
        </w:rPr>
        <w:t>款”所约定的标准与承诺的义务，甲方有权随时解除合同并扣除当月服务费用作为违约金。</w:t>
      </w:r>
    </w:p>
    <w:p w14:paraId="1997090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highlight w:val="none"/>
          <w:lang w:val="en-US" w:eastAsia="zh-CN"/>
        </w:rPr>
        <w:t>四、</w:t>
      </w:r>
      <w:r>
        <w:rPr>
          <w:rFonts w:hint="eastAsia" w:asciiTheme="minorEastAsia" w:hAnsiTheme="minorEastAsia" w:eastAsiaTheme="minorEastAsia" w:cstheme="minorEastAsia"/>
          <w:color w:val="000000"/>
          <w:kern w:val="0"/>
          <w:sz w:val="24"/>
          <w:szCs w:val="24"/>
          <w:highlight w:val="none"/>
        </w:rPr>
        <w:t>甲方有下列情形之一的,乙方可解除本合同,但在纠纷解决之前，乙方必须保障正常的服务，延期服务不超过30天。</w:t>
      </w:r>
      <w:r>
        <w:rPr>
          <w:rFonts w:hint="eastAsia" w:asciiTheme="minorEastAsia" w:hAnsiTheme="minorEastAsia" w:eastAsiaTheme="minorEastAsia" w:cstheme="minorEastAsia"/>
          <w:color w:val="000000"/>
          <w:kern w:val="0"/>
          <w:sz w:val="24"/>
          <w:szCs w:val="24"/>
        </w:rPr>
        <w:t>因甲方原因给乙方造成损失的,甲方应负赔偿责任</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1、甲方未按本合同约定向乙方支付报酬的</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2、甲方要求</w:t>
      </w:r>
      <w:r>
        <w:rPr>
          <w:rFonts w:hint="eastAsia" w:asciiTheme="minorEastAsia" w:hAnsiTheme="minorEastAsia" w:eastAsiaTheme="minorEastAsia" w:cstheme="minorEastAsia"/>
          <w:color w:val="000000"/>
          <w:kern w:val="0"/>
          <w:sz w:val="24"/>
          <w:szCs w:val="24"/>
          <w:lang w:eastAsia="zh-CN"/>
        </w:rPr>
        <w:t>服务</w:t>
      </w:r>
      <w:r>
        <w:rPr>
          <w:rFonts w:hint="eastAsia" w:asciiTheme="minorEastAsia" w:hAnsiTheme="minorEastAsia" w:eastAsiaTheme="minorEastAsia" w:cstheme="minorEastAsia"/>
          <w:color w:val="000000"/>
          <w:kern w:val="0"/>
          <w:sz w:val="24"/>
          <w:szCs w:val="24"/>
        </w:rPr>
        <w:t>人员从事违法犯罪活动的。</w:t>
      </w:r>
    </w:p>
    <w:p w14:paraId="6A34FC3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五、在合同服务期限内，乙方未经甲方同意又委托第三方（人）从事本项目内服务工作的，应视为乙方严重违约，甲方有权随时终止合同且不承担任何责任（包括但不限于违约责任），乙方需向甲方按照本合同年度项目费用总额的双倍标准支付违约金，且由乙方承担因此违约行为产生的一切法律后果和赔偿责任。</w:t>
      </w:r>
    </w:p>
    <w:p w14:paraId="08C2F1C5">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乙方提供的服务不符合报价文件或本合同规定的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甲方有权拒收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并且乙方须向甲方支付本合同总价</w:t>
      </w:r>
      <w:r>
        <w:rPr>
          <w:rFonts w:hint="eastAsia" w:asciiTheme="minorEastAsia" w:hAnsiTheme="minorEastAsia" w:eastAsiaTheme="minorEastAsia" w:cstheme="minorEastAsia"/>
          <w:sz w:val="24"/>
          <w:szCs w:val="24"/>
          <w:highlight w:val="none"/>
          <w:u w:val="single"/>
          <w:lang w:val="en-US" w:eastAsia="zh-CN"/>
        </w:rPr>
        <w:t>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的违约金。</w:t>
      </w:r>
    </w:p>
    <w:p w14:paraId="19F1487B">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val="en-US" w:eastAsia="zh-CN"/>
        </w:rPr>
        <w:t>七、</w:t>
      </w:r>
      <w:r>
        <w:rPr>
          <w:rFonts w:hint="eastAsia" w:asciiTheme="minorEastAsia" w:hAnsiTheme="minorEastAsia" w:eastAsiaTheme="minorEastAsia" w:cstheme="minorEastAsia"/>
          <w:sz w:val="24"/>
          <w:szCs w:val="24"/>
          <w:highlight w:val="none"/>
        </w:rPr>
        <w:t>乙方未能按本合同规定的合同履约期限提供服务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从逾期之日起每日按本合同总价</w:t>
      </w:r>
      <w:r>
        <w:rPr>
          <w:rFonts w:hint="eastAsia" w:asciiTheme="minorEastAsia" w:hAnsiTheme="minorEastAsia" w:eastAsiaTheme="minorEastAsia" w:cstheme="minorEastAsia"/>
          <w:sz w:val="24"/>
          <w:szCs w:val="24"/>
          <w:highlight w:val="none"/>
          <w:u w:val="single"/>
          <w:lang w:val="en-US" w:eastAsia="zh-CN"/>
        </w:rPr>
        <w:t>0.1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的数额向甲方支付违约金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逾期半个月以上的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甲方有权终止合同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由此造成的甲方经济损失由乙方承担。</w:t>
      </w:r>
    </w:p>
    <w:p w14:paraId="1AAA6C6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八、本合同生效之后，如任何一方违约，守约方为维护权益向违约方追偿的一切费用（包括但不限于律师费、诉讼费、保全费、鉴定费、差旅费）由违约方承担。</w:t>
      </w:r>
    </w:p>
    <w:p w14:paraId="45E5AABD">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九、</w:t>
      </w:r>
      <w:r>
        <w:rPr>
          <w:rFonts w:hint="eastAsia" w:asciiTheme="minorEastAsia" w:hAnsiTheme="minorEastAsia" w:eastAsiaTheme="minorEastAsia" w:cstheme="minorEastAsia"/>
          <w:sz w:val="24"/>
          <w:szCs w:val="24"/>
        </w:rPr>
        <w:t>任何一方由于不可抗力原因不能履行合同时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应在不可抗力事件结</w:t>
      </w:r>
      <w:r>
        <w:rPr>
          <w:rFonts w:hint="eastAsia" w:asciiTheme="minorEastAsia" w:hAnsiTheme="minorEastAsia" w:eastAsiaTheme="minorEastAsia" w:cstheme="minorEastAsia"/>
          <w:sz w:val="24"/>
          <w:szCs w:val="24"/>
          <w:highlight w:val="none"/>
        </w:rPr>
        <w:t>束后1日内向对</w:t>
      </w:r>
      <w:r>
        <w:rPr>
          <w:rFonts w:hint="eastAsia" w:asciiTheme="minorEastAsia" w:hAnsiTheme="minorEastAsia" w:eastAsiaTheme="minorEastAsia" w:cstheme="minorEastAsia"/>
          <w:sz w:val="24"/>
          <w:szCs w:val="24"/>
        </w:rPr>
        <w:t>方通报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以减轻可能给对方造成的损失</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在取得有关机构的不可抗力证明或双方谅解确认后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允许延期履行或修订合同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并根据情况可部分或全部免于承担违约责任。</w:t>
      </w:r>
    </w:p>
    <w:p w14:paraId="142053CB">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000000"/>
          <w:kern w:val="0"/>
          <w:sz w:val="24"/>
          <w:szCs w:val="24"/>
          <w:lang w:eastAsia="zh-CN"/>
        </w:rPr>
        <w:t>第八条保密条款</w:t>
      </w:r>
    </w:p>
    <w:p w14:paraId="267C5FC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乙方对甲方提供的资料负有保密义务,未经甲方同意,不得向项目无关单位和个人提供有关资料。如发生以上情况,甲方有权索赔。</w:t>
      </w:r>
    </w:p>
    <w:p w14:paraId="35057D66">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val="0"/>
          <w:bCs w:val="0"/>
          <w:color w:val="000000"/>
          <w:kern w:val="0"/>
          <w:sz w:val="24"/>
          <w:szCs w:val="24"/>
          <w:lang w:eastAsia="zh-CN"/>
        </w:rPr>
      </w:pPr>
      <w:r>
        <w:rPr>
          <w:rFonts w:hint="eastAsia" w:asciiTheme="minorEastAsia" w:hAnsiTheme="minorEastAsia" w:eastAsiaTheme="minorEastAsia" w:cstheme="minorEastAsia"/>
          <w:b w:val="0"/>
          <w:bCs w:val="0"/>
          <w:color w:val="000000"/>
          <w:kern w:val="0"/>
          <w:sz w:val="24"/>
          <w:szCs w:val="24"/>
          <w:lang w:eastAsia="zh-CN"/>
        </w:rPr>
        <w:t>第九条争议的解决</w:t>
      </w:r>
    </w:p>
    <w:p w14:paraId="2298955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本合同执行过程中发生的任何争议,如双方不能通过友好协商解决,</w:t>
      </w:r>
      <w:r>
        <w:rPr>
          <w:rFonts w:hint="eastAsia" w:asciiTheme="minorEastAsia" w:hAnsiTheme="minorEastAsia" w:eastAsiaTheme="minorEastAsia" w:cstheme="minorEastAsia"/>
          <w:color w:val="000000"/>
          <w:kern w:val="0"/>
          <w:sz w:val="24"/>
          <w:szCs w:val="24"/>
        </w:rPr>
        <w:t>双方自愿</w:t>
      </w:r>
      <w:r>
        <w:rPr>
          <w:rFonts w:hint="eastAsia" w:asciiTheme="minorEastAsia" w:hAnsiTheme="minorEastAsia" w:eastAsiaTheme="minorEastAsia" w:cstheme="minorEastAsia"/>
          <w:color w:val="000000"/>
          <w:kern w:val="0"/>
          <w:sz w:val="24"/>
          <w:szCs w:val="24"/>
          <w:highlight w:val="none"/>
        </w:rPr>
        <w:t>向</w:t>
      </w:r>
      <w:r>
        <w:rPr>
          <w:rFonts w:hint="eastAsia" w:asciiTheme="minorEastAsia" w:hAnsiTheme="minorEastAsia" w:eastAsiaTheme="minorEastAsia" w:cstheme="minorEastAsia"/>
          <w:color w:val="000000"/>
          <w:kern w:val="0"/>
          <w:sz w:val="24"/>
          <w:szCs w:val="24"/>
          <w:highlight w:val="none"/>
          <w:lang w:val="en-US" w:eastAsia="zh-CN"/>
        </w:rPr>
        <w:t>甲方所在地</w:t>
      </w:r>
      <w:r>
        <w:rPr>
          <w:rFonts w:hint="eastAsia" w:asciiTheme="minorEastAsia" w:hAnsiTheme="minorEastAsia" w:eastAsiaTheme="minorEastAsia" w:cstheme="minorEastAsia"/>
          <w:color w:val="000000"/>
          <w:kern w:val="0"/>
          <w:sz w:val="24"/>
          <w:szCs w:val="24"/>
          <w:highlight w:val="none"/>
        </w:rPr>
        <w:t>法院提起诉讼</w:t>
      </w:r>
      <w:r>
        <w:rPr>
          <w:rFonts w:hint="eastAsia" w:asciiTheme="minorEastAsia" w:hAnsiTheme="minorEastAsia" w:eastAsiaTheme="minorEastAsia" w:cstheme="minorEastAsia"/>
          <w:sz w:val="24"/>
          <w:szCs w:val="24"/>
          <w:highlight w:val="none"/>
        </w:rPr>
        <w:t>。</w:t>
      </w:r>
    </w:p>
    <w:p w14:paraId="75B979D5">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val="0"/>
          <w:bCs w:val="0"/>
          <w:color w:val="000000"/>
          <w:kern w:val="0"/>
          <w:sz w:val="24"/>
          <w:szCs w:val="24"/>
          <w:highlight w:val="none"/>
          <w:lang w:eastAsia="zh-CN"/>
        </w:rPr>
      </w:pPr>
      <w:r>
        <w:rPr>
          <w:rFonts w:hint="eastAsia" w:asciiTheme="minorEastAsia" w:hAnsiTheme="minorEastAsia" w:eastAsiaTheme="minorEastAsia" w:cstheme="minorEastAsia"/>
          <w:b w:val="0"/>
          <w:bCs w:val="0"/>
          <w:color w:val="000000"/>
          <w:kern w:val="0"/>
          <w:sz w:val="24"/>
          <w:szCs w:val="24"/>
          <w:highlight w:val="none"/>
          <w:lang w:eastAsia="zh-CN"/>
        </w:rPr>
        <w:t>第十条税费</w:t>
      </w:r>
    </w:p>
    <w:p w14:paraId="0DA6493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此项目发生的与本合同执行有关的一切税费均由</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负担。</w:t>
      </w:r>
    </w:p>
    <w:p w14:paraId="3E5D8E57">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color w:val="000000"/>
          <w:kern w:val="0"/>
          <w:sz w:val="24"/>
          <w:szCs w:val="24"/>
          <w:lang w:eastAsia="zh-CN"/>
        </w:rPr>
        <w:t>第十一条其它</w:t>
      </w:r>
    </w:p>
    <w:p w14:paraId="47A91FA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本合同所有附件均为合同的有效组成部分,与本合同具有同等法律效力。</w:t>
      </w:r>
    </w:p>
    <w:p w14:paraId="17C475B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color w:val="000000"/>
          <w:kern w:val="0"/>
          <w:sz w:val="24"/>
          <w:szCs w:val="24"/>
        </w:rPr>
        <w:t>双方在履行合同期间，如甲方要求增加或减少服务事项，双方应就相应增加或减少签订补充协议，</w:t>
      </w:r>
      <w:r>
        <w:rPr>
          <w:rFonts w:hint="eastAsia" w:asciiTheme="minorEastAsia" w:hAnsiTheme="minorEastAsia" w:eastAsiaTheme="minorEastAsia" w:cstheme="minorEastAsia"/>
          <w:sz w:val="24"/>
          <w:szCs w:val="24"/>
        </w:rPr>
        <w:t>所有经双方签署确认的文件(包括会议纪要、补充协议、往来信函)即成为本合同的有效组成部分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kern w:val="0"/>
          <w:sz w:val="24"/>
          <w:szCs w:val="24"/>
        </w:rPr>
        <w:t>与本合同具有同等法律效力。</w:t>
      </w:r>
    </w:p>
    <w:p w14:paraId="1732B95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如一方地址、电话、传真号码有变更,应在变更当日内书面通知对方,否则,应承担相应责任。</w:t>
      </w:r>
    </w:p>
    <w:p w14:paraId="47C3F66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四、</w:t>
      </w:r>
      <w:r>
        <w:rPr>
          <w:rFonts w:hint="eastAsia" w:asciiTheme="minorEastAsia" w:hAnsiTheme="minorEastAsia" w:eastAsiaTheme="minorEastAsia" w:cstheme="minorEastAsia"/>
          <w:color w:val="000000"/>
          <w:kern w:val="0"/>
          <w:sz w:val="24"/>
          <w:szCs w:val="24"/>
        </w:rPr>
        <w:t>本合同一式</w:t>
      </w:r>
      <w:r>
        <w:rPr>
          <w:rFonts w:hint="eastAsia" w:asciiTheme="minorEastAsia" w:hAnsiTheme="minorEastAsia" w:eastAsiaTheme="minorEastAsia" w:cstheme="minorEastAsia"/>
          <w:color w:val="000000"/>
          <w:kern w:val="0"/>
          <w:sz w:val="24"/>
          <w:szCs w:val="24"/>
          <w:lang w:val="en-US" w:eastAsia="zh-CN"/>
        </w:rPr>
        <w:t>陆</w:t>
      </w:r>
      <w:r>
        <w:rPr>
          <w:rFonts w:hint="eastAsia" w:asciiTheme="minorEastAsia" w:hAnsiTheme="minorEastAsia" w:eastAsiaTheme="minorEastAsia" w:cstheme="minorEastAsia"/>
          <w:color w:val="000000"/>
          <w:kern w:val="0"/>
          <w:sz w:val="24"/>
          <w:szCs w:val="24"/>
        </w:rPr>
        <w:t>份，</w:t>
      </w:r>
      <w:r>
        <w:rPr>
          <w:rFonts w:hint="eastAsia" w:asciiTheme="minorEastAsia" w:hAnsiTheme="minorEastAsia" w:eastAsiaTheme="minorEastAsia" w:cstheme="minorEastAsia"/>
          <w:color w:val="000000"/>
          <w:kern w:val="0"/>
          <w:sz w:val="24"/>
          <w:szCs w:val="24"/>
          <w:lang w:val="en-US" w:eastAsia="zh-CN"/>
        </w:rPr>
        <w:t>甲乙双方各执三份，效力相同，</w:t>
      </w:r>
      <w:r>
        <w:rPr>
          <w:rFonts w:hint="eastAsia" w:asciiTheme="minorEastAsia" w:hAnsiTheme="minorEastAsia" w:eastAsiaTheme="minorEastAsia" w:cstheme="minorEastAsia"/>
          <w:color w:val="000000"/>
          <w:kern w:val="0"/>
          <w:sz w:val="24"/>
          <w:szCs w:val="24"/>
        </w:rPr>
        <w:t>经签字</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盖章</w:t>
      </w:r>
      <w:r>
        <w:rPr>
          <w:rFonts w:hint="eastAsia" w:asciiTheme="minorEastAsia" w:hAnsiTheme="minorEastAsia" w:eastAsiaTheme="minorEastAsia" w:cstheme="minorEastAsia"/>
          <w:color w:val="000000"/>
          <w:kern w:val="0"/>
          <w:sz w:val="24"/>
          <w:szCs w:val="24"/>
        </w:rPr>
        <w:t>之日起生效</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未尽事宜双方协商解决。</w:t>
      </w:r>
    </w:p>
    <w:p w14:paraId="0898A57F">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val="0"/>
          <w:bCs w:val="0"/>
          <w:color w:val="000000"/>
          <w:kern w:val="0"/>
          <w:sz w:val="24"/>
          <w:szCs w:val="24"/>
          <w:lang w:eastAsia="zh-CN"/>
        </w:rPr>
      </w:pPr>
      <w:r>
        <w:rPr>
          <w:rFonts w:hint="eastAsia" w:asciiTheme="minorEastAsia" w:hAnsiTheme="minorEastAsia" w:eastAsiaTheme="minorEastAsia" w:cstheme="minorEastAsia"/>
          <w:b w:val="0"/>
          <w:bCs w:val="0"/>
          <w:color w:val="000000"/>
          <w:kern w:val="0"/>
          <w:sz w:val="24"/>
          <w:szCs w:val="24"/>
          <w:lang w:eastAsia="zh-CN"/>
        </w:rPr>
        <w:t>第十二条合同附件</w:t>
      </w:r>
    </w:p>
    <w:p w14:paraId="0CCE7AC5">
      <w:pPr>
        <w:keepNext w:val="0"/>
        <w:keepLines w:val="0"/>
        <w:pageBreakBefore w:val="0"/>
        <w:widowControl w:val="0"/>
        <w:kinsoku/>
        <w:wordWrap/>
        <w:overflowPunct/>
        <w:topLinePunct w:val="0"/>
        <w:autoSpaceDE/>
        <w:autoSpaceDN/>
        <w:bidi w:val="0"/>
        <w:snapToGrid/>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sz w:val="24"/>
          <w:szCs w:val="24"/>
        </w:rPr>
        <w:t>附件一：</w:t>
      </w:r>
      <w:r>
        <w:rPr>
          <w:rFonts w:hint="eastAsia" w:asciiTheme="minorEastAsia" w:hAnsiTheme="minorEastAsia" w:eastAsiaTheme="minorEastAsia" w:cstheme="minorEastAsia"/>
          <w:b w:val="0"/>
          <w:bCs w:val="0"/>
          <w:sz w:val="24"/>
          <w:szCs w:val="24"/>
          <w:highlight w:val="none"/>
        </w:rPr>
        <w:t>服务</w:t>
      </w:r>
      <w:r>
        <w:rPr>
          <w:rFonts w:hint="eastAsia" w:asciiTheme="minorEastAsia" w:hAnsiTheme="minorEastAsia" w:eastAsiaTheme="minorEastAsia" w:cstheme="minorEastAsia"/>
          <w:b w:val="0"/>
          <w:bCs w:val="0"/>
          <w:sz w:val="24"/>
          <w:szCs w:val="24"/>
          <w:highlight w:val="none"/>
          <w:lang w:val="en-US" w:eastAsia="zh-CN"/>
        </w:rPr>
        <w:t>和技术要求</w:t>
      </w:r>
    </w:p>
    <w:p w14:paraId="54479679">
      <w:pPr>
        <w:keepNext w:val="0"/>
        <w:keepLines w:val="0"/>
        <w:pageBreakBefore w:val="0"/>
        <w:widowControl w:val="0"/>
        <w:kinsoku/>
        <w:wordWrap/>
        <w:overflowPunct/>
        <w:topLinePunct w:val="0"/>
        <w:autoSpaceDE/>
        <w:autoSpaceDN/>
        <w:bidi w:val="0"/>
        <w:snapToGrid/>
        <w:spacing w:line="56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附件</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 w:val="0"/>
          <w:bCs w:val="0"/>
          <w:sz w:val="24"/>
          <w:szCs w:val="24"/>
          <w:highlight w:val="none"/>
        </w:rPr>
        <w:t>绩效评价及标准</w:t>
      </w:r>
    </w:p>
    <w:p w14:paraId="2F503649">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sz w:val="24"/>
          <w:szCs w:val="24"/>
        </w:rPr>
      </w:pPr>
    </w:p>
    <w:p w14:paraId="49A1A3DE">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6915E3F9">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Theme="minorEastAsia" w:hAnsiTheme="minorEastAsia" w:eastAsiaTheme="minorEastAsia" w:cstheme="minorEastAsia"/>
          <w:sz w:val="24"/>
          <w:szCs w:val="24"/>
        </w:rPr>
      </w:pPr>
    </w:p>
    <w:p w14:paraId="0293F840">
      <w:pPr>
        <w:pStyle w:val="13"/>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eastAsia" w:asciiTheme="minorEastAsia" w:hAnsiTheme="minorEastAsia" w:eastAsiaTheme="minorEastAsia" w:cstheme="minorEastAsia"/>
          <w:sz w:val="24"/>
          <w:szCs w:val="24"/>
        </w:rPr>
      </w:pPr>
    </w:p>
    <w:p w14:paraId="5E18E6FC">
      <w:pPr>
        <w:pStyle w:val="13"/>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eastAsia" w:asciiTheme="minorEastAsia" w:hAnsiTheme="minorEastAsia" w:eastAsiaTheme="minorEastAsia" w:cstheme="minorEastAsia"/>
          <w:sz w:val="24"/>
          <w:szCs w:val="24"/>
        </w:rPr>
      </w:pPr>
    </w:p>
    <w:p w14:paraId="67F713C5">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盖章或签字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盖章或签字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40D7A27F">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58CA2442">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rPr>
      </w:pPr>
    </w:p>
    <w:p w14:paraId="7B336135">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月  日</w:t>
      </w:r>
    </w:p>
    <w:p w14:paraId="60668F59">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br w:type="page"/>
      </w:r>
    </w:p>
    <w:p w14:paraId="60C07D61">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b/>
          <w:bCs/>
          <w:sz w:val="24"/>
          <w:szCs w:val="24"/>
          <w:highlight w:val="none"/>
        </w:rPr>
      </w:pPr>
    </w:p>
    <w:p w14:paraId="7A3D107B">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b/>
          <w:bCs/>
          <w:sz w:val="24"/>
          <w:szCs w:val="24"/>
          <w:highlight w:val="none"/>
          <w:lang w:val="en-US" w:eastAsia="zh-CN"/>
        </w:rPr>
      </w:pPr>
      <w:bookmarkStart w:id="37" w:name="_Toc14768"/>
      <w:r>
        <w:rPr>
          <w:rFonts w:hint="eastAsia" w:asciiTheme="minorEastAsia" w:hAnsiTheme="minorEastAsia" w:eastAsiaTheme="minorEastAsia" w:cstheme="minorEastAsia"/>
          <w:b/>
          <w:bCs/>
          <w:sz w:val="24"/>
          <w:szCs w:val="24"/>
          <w:highlight w:val="none"/>
        </w:rPr>
        <w:t>附件一：服务</w:t>
      </w:r>
      <w:r>
        <w:rPr>
          <w:rFonts w:hint="eastAsia" w:asciiTheme="minorEastAsia" w:hAnsiTheme="minorEastAsia" w:eastAsiaTheme="minorEastAsia" w:cstheme="minorEastAsia"/>
          <w:b/>
          <w:bCs/>
          <w:sz w:val="24"/>
          <w:szCs w:val="24"/>
          <w:highlight w:val="none"/>
          <w:lang w:val="en-US" w:eastAsia="zh-CN"/>
        </w:rPr>
        <w:t>和技术要求</w:t>
      </w:r>
    </w:p>
    <w:p w14:paraId="6BDDCC47">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bCs/>
          <w:sz w:val="24"/>
          <w:szCs w:val="24"/>
          <w:highlight w:val="none"/>
        </w:rPr>
        <w:t>服务</w:t>
      </w:r>
      <w:r>
        <w:rPr>
          <w:rFonts w:hint="eastAsia" w:asciiTheme="minorEastAsia" w:hAnsiTheme="minorEastAsia" w:eastAsiaTheme="minorEastAsia" w:cstheme="minorEastAsia"/>
          <w:b/>
          <w:bCs/>
          <w:sz w:val="24"/>
          <w:szCs w:val="24"/>
          <w:highlight w:val="none"/>
          <w:lang w:val="en-US" w:eastAsia="zh-CN"/>
        </w:rPr>
        <w:t>和技术要求</w:t>
      </w:r>
    </w:p>
    <w:p w14:paraId="53F2491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一、服务内容</w:t>
      </w:r>
    </w:p>
    <w:p w14:paraId="42B5D51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安全保卫服务：“四馆”门卫和日常巡逻、防盗等报警监控运行管理，车辆、道路及公共秩序维护，防汛、治安及其它突发事件处理等。此项目报价中包含由乙方承担的对讲机、安保服装、照明灯、应急包等材料费。</w:t>
      </w:r>
    </w:p>
    <w:p w14:paraId="0B8CADE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二、项目要求</w:t>
      </w:r>
    </w:p>
    <w:p w14:paraId="271C436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1、基本要求</w:t>
      </w:r>
    </w:p>
    <w:p w14:paraId="0B75D84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服务提供方需负责“四馆”的服务工作，具体内容为安全保卫服务。所有工作人员必须遵守馆内各项规定，并且服从馆内管理。</w:t>
      </w:r>
    </w:p>
    <w:p w14:paraId="6D33BE8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2、服务保障要求</w:t>
      </w:r>
    </w:p>
    <w:p w14:paraId="20B624B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（1）制度建设</w:t>
      </w:r>
    </w:p>
    <w:p w14:paraId="65CD14A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应在提供服务项目的同时，建立与服务内容相适应的管理体系并形成文件，具体包括但不限于以下制度:</w:t>
      </w:r>
    </w:p>
    <w:p w14:paraId="46B073A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——建立传达、车辆及公共秩序管理等安全生产制度和安全预防及突发事件应急处置预案，确保正常工作秩序和办公区域安全；</w:t>
      </w:r>
    </w:p>
    <w:p w14:paraId="268937B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——建立保密安全管理制度，明确重点要害岗位保密职责及对相关人员的保密要求，从制度层面防范失泄密风险。</w:t>
      </w:r>
    </w:p>
    <w:p w14:paraId="5068FDB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（2）人员要求：</w:t>
      </w:r>
    </w:p>
    <w:p w14:paraId="1DEEAA7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服务人员应根据岗位需要接受保密教育并签订保密协议；应接受岗位培训，经培训合格后方可上岗。</w:t>
      </w:r>
    </w:p>
    <w:p w14:paraId="74AB558E">
      <w:pPr>
        <w:pStyle w:val="21"/>
        <w:keepNext w:val="0"/>
        <w:keepLines w:val="0"/>
        <w:pageBreakBefore w:val="0"/>
        <w:numPr>
          <w:ilvl w:val="1"/>
          <w:numId w:val="0"/>
        </w:numPr>
        <w:kinsoku/>
        <w:wordWrap/>
        <w:overflowPunct/>
        <w:topLinePunct w:val="0"/>
        <w:bidi w:val="0"/>
        <w:spacing w:line="56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安保人员40人，年龄45岁以下（包含45岁），无违法犯罪记录，品行端正、无不良嗜好。</w:t>
      </w:r>
    </w:p>
    <w:p w14:paraId="0006A6C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p>
    <w:p w14:paraId="2FB3BDC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三、服务工作及相关要求</w:t>
      </w:r>
    </w:p>
    <w:p w14:paraId="7171EF2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安全保卫服务</w:t>
      </w:r>
    </w:p>
    <w:p w14:paraId="7C026F0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包含“四馆”来人来访登记、检查、通报等工作，治安防范、财产安全、公共秩序管理及突发事件处置等，设备设施维护、道路交通车辆管理，以及重大节假日、特殊或重要时期、重大政治活动期间的安全保卫工作等。</w:t>
      </w:r>
    </w:p>
    <w:p w14:paraId="7F854A4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1、门卫管理</w:t>
      </w:r>
    </w:p>
    <w:p w14:paraId="1576E42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——重要出入口24小时值班；</w:t>
      </w:r>
    </w:p>
    <w:p w14:paraId="742A9EB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——对外来人员逐一验证、登记及必要安检，若发现疑点，应及时、认真询问，防止闲杂人员进入；</w:t>
      </w:r>
    </w:p>
    <w:p w14:paraId="61C5F0F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——配合机关信访、保卫部门积极疏导上访人员；</w:t>
      </w:r>
    </w:p>
    <w:p w14:paraId="6EFB91F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——对外来车辆逐一核对、登记，防止无准入许可的车辆进入；</w:t>
      </w:r>
    </w:p>
    <w:p w14:paraId="12B9F7F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——有效疏导进出车辆，保持出入畅通；</w:t>
      </w:r>
    </w:p>
    <w:p w14:paraId="5747E4D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——对进出物品实施分类记录，对大宗物品应当审验，严防危险物品进入。</w:t>
      </w:r>
    </w:p>
    <w:p w14:paraId="7BA6DF8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2、值班巡查</w:t>
      </w:r>
    </w:p>
    <w:p w14:paraId="3C625E8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——落实24小时值班巡查制度，保证值班电话24小时畅通；</w:t>
      </w:r>
    </w:p>
    <w:p w14:paraId="2DAD97F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——根据机关保卫部门要求，合理安排巡查路线，确保重点部位全覆盖；</w:t>
      </w:r>
    </w:p>
    <w:p w14:paraId="4E8E8EE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——发现违规行为应及时制止，发现异常情况应立即通知相关部门并在现场采取必要措施；</w:t>
      </w:r>
    </w:p>
    <w:p w14:paraId="0C8D307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——收到监控中心指令后，巡查人员应及时到达指定地点并迅速采取相应措施；</w:t>
      </w:r>
    </w:p>
    <w:p w14:paraId="6BC5D34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——发现消火栓、安全警示标志等公共安全设备设施损坏、缺失或不能正常使用等情况，应及时报告、记录并及时安排维保人员进行处理。</w:t>
      </w:r>
    </w:p>
    <w:p w14:paraId="6DD8818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3、监控值守</w:t>
      </w:r>
    </w:p>
    <w:p w14:paraId="2558DE2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——监控设施应24小时正常运行，双人值守并合理安排值守时间，如有故障应及时排除，保证对安全出入口、内部重点区域的安全监控，并保持完整记录，监控资料按规定期限保留；</w:t>
      </w:r>
    </w:p>
    <w:p w14:paraId="031C06E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——在夜晚采取补光等措施，确保视频图像清晰，确保安全出入口和内部重点部位的视频监控无死角、无盲区；</w:t>
      </w:r>
    </w:p>
    <w:p w14:paraId="41A1FA7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——监控中心收到险情、火情等报警信号及其他异常情况的信号后，应及时报警并安排其他安保人员携带处置装备及时赶到报警点进行现场处理；</w:t>
      </w:r>
    </w:p>
    <w:p w14:paraId="154D372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——保持治安电话畅通，接听及时。</w:t>
      </w:r>
    </w:p>
    <w:p w14:paraId="666D98E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4、车辆停放</w:t>
      </w:r>
    </w:p>
    <w:p w14:paraId="2985EAE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——院内设置行车指示、限速等标识和路口反光镜，规定行驶路线，指定停放区域，保证车辆有序通行、便于停放；</w:t>
      </w:r>
    </w:p>
    <w:p w14:paraId="71125FD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——车库专人管理，定时清洁，无易燃易爆等危险品存放，监控、照明、抽水、消防器械配置齐全、正常运行；</w:t>
      </w:r>
    </w:p>
    <w:p w14:paraId="1E5B297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——非机动车定点有序停放。</w:t>
      </w:r>
    </w:p>
    <w:p w14:paraId="7B14071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5、消防管理</w:t>
      </w:r>
    </w:p>
    <w:p w14:paraId="0C0B73D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——建立消防安全责任制；</w:t>
      </w:r>
    </w:p>
    <w:p w14:paraId="05C526D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——保持所有消防通道畅通，在明显位置设置疏散示意图；</w:t>
      </w:r>
    </w:p>
    <w:p w14:paraId="71B0CF1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——消防设施有明显标志，定期巡检和维护消防设备设施，保持完好、完整和正常使用，并保留文字记录，按时上报；</w:t>
      </w:r>
    </w:p>
    <w:p w14:paraId="70FF51C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——对易燃易爆品设专区专人管理；</w:t>
      </w:r>
    </w:p>
    <w:p w14:paraId="4CBD6A9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——每年至少组织1次消防演练或培训。</w:t>
      </w:r>
    </w:p>
    <w:p w14:paraId="4F0B8C1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消防设备维保质量应达到消防要求，并保证系统开通率及完好率。应定期检查消防设备，重大节假日前巡检1次，零修合格率应达到100%。</w:t>
      </w:r>
    </w:p>
    <w:p w14:paraId="39F41C4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四、应急响应要求</w:t>
      </w:r>
    </w:p>
    <w:p w14:paraId="6015103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安全保卫服务</w:t>
      </w:r>
    </w:p>
    <w:p w14:paraId="4060A6D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安保服务应急，如发生地质灾害、灾害性天气或突发公共事件时，应按照应急处置预案进行处理，并全力配合有关部门，保护人员人身安全，尽量减少财产损失。</w:t>
      </w:r>
    </w:p>
    <w:p w14:paraId="54484A2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五、其他要求</w:t>
      </w:r>
    </w:p>
    <w:p w14:paraId="391A699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服务人员在工作期间，应当严格遵守相关安全管理制度，采取有效的安全防护措施，消除事故隐患，在服务期间，所发生的一切安全事故和事故造成的损失，由乙方承担，与甲方无关。乙方应对其在楼内的工作人员进行安全教育，并对他们的安全负责，乙方对发生在服务区域内的任何人身伤亡事件或任何财产损坏、损失，负完全法律责任，并赔偿甲方遭受的一切损失；乙方与聘用人员发生劳动（劳务）纠纷，由乙方负责调解和处理，甲方不承担责任。在安全事故、劳动纠纷发生的当月甲方有权停止支付乙方服务费，直至事故、纠纷处理或损失赔偿完毕后，恢复正常支付程序。</w:t>
      </w:r>
    </w:p>
    <w:p w14:paraId="34C69CE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六、绩效评价及标准</w:t>
      </w:r>
    </w:p>
    <w:p w14:paraId="390B97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绩效评价及标准</w:t>
      </w:r>
    </w:p>
    <w:p w14:paraId="07ECFB5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考核单位：张家口霖辉物业管理集团有限公司          考核时间：</w:t>
      </w:r>
    </w:p>
    <w:tbl>
      <w:tblPr>
        <w:tblStyle w:val="14"/>
        <w:tblW w:w="4998" w:type="pct"/>
        <w:tblInd w:w="0" w:type="dxa"/>
        <w:tblLayout w:type="autofit"/>
        <w:tblCellMar>
          <w:top w:w="0" w:type="dxa"/>
          <w:left w:w="108" w:type="dxa"/>
          <w:bottom w:w="0" w:type="dxa"/>
          <w:right w:w="108" w:type="dxa"/>
        </w:tblCellMar>
      </w:tblPr>
      <w:tblGrid>
        <w:gridCol w:w="491"/>
        <w:gridCol w:w="706"/>
        <w:gridCol w:w="1858"/>
        <w:gridCol w:w="3954"/>
        <w:gridCol w:w="600"/>
        <w:gridCol w:w="970"/>
        <w:gridCol w:w="591"/>
      </w:tblGrid>
      <w:tr w14:paraId="5EFABB2D">
        <w:tblPrEx>
          <w:tblCellMar>
            <w:top w:w="0" w:type="dxa"/>
            <w:left w:w="108" w:type="dxa"/>
            <w:bottom w:w="0" w:type="dxa"/>
            <w:right w:w="108" w:type="dxa"/>
          </w:tblCellMar>
        </w:tblPrEx>
        <w:trPr>
          <w:trHeight w:val="379" w:hRule="atLeast"/>
        </w:trPr>
        <w:tc>
          <w:tcPr>
            <w:tcW w:w="268" w:type="pct"/>
            <w:tcBorders>
              <w:top w:val="single" w:color="auto" w:sz="8" w:space="0"/>
              <w:left w:val="single" w:color="auto" w:sz="8" w:space="0"/>
              <w:bottom w:val="single" w:color="auto" w:sz="8" w:space="0"/>
              <w:right w:val="single" w:color="auto" w:sz="8" w:space="0"/>
            </w:tcBorders>
            <w:shd w:val="clear" w:color="000000" w:fill="FFFFFF" w:themeFill="background1"/>
            <w:noWrap w:val="0"/>
            <w:vAlign w:val="center"/>
          </w:tcPr>
          <w:p w14:paraId="40D8372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序号</w:t>
            </w:r>
          </w:p>
        </w:tc>
        <w:tc>
          <w:tcPr>
            <w:tcW w:w="385" w:type="pct"/>
            <w:tcBorders>
              <w:top w:val="single" w:color="auto" w:sz="8" w:space="0"/>
              <w:left w:val="single" w:color="auto" w:sz="8" w:space="0"/>
              <w:bottom w:val="single" w:color="auto" w:sz="8" w:space="0"/>
              <w:right w:val="single" w:color="auto" w:sz="8" w:space="0"/>
            </w:tcBorders>
            <w:shd w:val="clear" w:color="000000" w:fill="FFFFFF" w:themeFill="background1"/>
            <w:noWrap w:val="0"/>
            <w:vAlign w:val="center"/>
          </w:tcPr>
          <w:p w14:paraId="4661B97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评价内容</w:t>
            </w:r>
          </w:p>
        </w:tc>
        <w:tc>
          <w:tcPr>
            <w:tcW w:w="3167" w:type="pct"/>
            <w:gridSpan w:val="2"/>
            <w:tcBorders>
              <w:top w:val="single" w:color="auto" w:sz="8" w:space="0"/>
              <w:left w:val="single" w:color="auto" w:sz="8" w:space="0"/>
              <w:bottom w:val="single" w:color="auto" w:sz="8" w:space="0"/>
              <w:right w:val="single" w:color="auto" w:sz="8" w:space="0"/>
            </w:tcBorders>
            <w:shd w:val="clear" w:color="000000" w:fill="FFFFFF" w:themeFill="background1"/>
            <w:noWrap w:val="0"/>
            <w:vAlign w:val="center"/>
          </w:tcPr>
          <w:p w14:paraId="2F6A46C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绩效评价及标准</w:t>
            </w:r>
          </w:p>
        </w:tc>
        <w:tc>
          <w:tcPr>
            <w:tcW w:w="327" w:type="pct"/>
            <w:tcBorders>
              <w:top w:val="single" w:color="auto" w:sz="8" w:space="0"/>
              <w:left w:val="single" w:color="auto" w:sz="8" w:space="0"/>
              <w:bottom w:val="single" w:color="auto" w:sz="8" w:space="0"/>
              <w:right w:val="single" w:color="auto" w:sz="8" w:space="0"/>
            </w:tcBorders>
            <w:shd w:val="clear" w:color="000000" w:fill="FFFFFF" w:themeFill="background1"/>
            <w:noWrap w:val="0"/>
            <w:vAlign w:val="center"/>
          </w:tcPr>
          <w:p w14:paraId="6F3CFFB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分值</w:t>
            </w:r>
          </w:p>
        </w:tc>
        <w:tc>
          <w:tcPr>
            <w:tcW w:w="529" w:type="pct"/>
            <w:tcBorders>
              <w:top w:val="single" w:color="auto" w:sz="8" w:space="0"/>
              <w:left w:val="single" w:color="auto" w:sz="8" w:space="0"/>
              <w:bottom w:val="single" w:color="auto" w:sz="8" w:space="0"/>
              <w:right w:val="single" w:color="auto" w:sz="8" w:space="0"/>
            </w:tcBorders>
            <w:shd w:val="clear" w:color="000000" w:fill="FFFFFF" w:themeFill="background1"/>
            <w:noWrap w:val="0"/>
            <w:vAlign w:val="center"/>
          </w:tcPr>
          <w:p w14:paraId="1CC0152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评分</w:t>
            </w:r>
          </w:p>
          <w:p w14:paraId="46BF1EF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细则</w:t>
            </w:r>
          </w:p>
        </w:tc>
        <w:tc>
          <w:tcPr>
            <w:tcW w:w="320" w:type="pct"/>
            <w:tcBorders>
              <w:top w:val="single" w:color="auto" w:sz="8" w:space="0"/>
              <w:left w:val="single" w:color="auto" w:sz="8" w:space="0"/>
              <w:bottom w:val="single" w:color="auto" w:sz="8" w:space="0"/>
              <w:right w:val="single" w:color="auto" w:sz="8" w:space="0"/>
            </w:tcBorders>
            <w:shd w:val="clear" w:color="000000" w:fill="FFFFFF" w:themeFill="background1"/>
            <w:noWrap w:val="0"/>
            <w:vAlign w:val="center"/>
          </w:tcPr>
          <w:p w14:paraId="5E5B5E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扣分</w:t>
            </w:r>
          </w:p>
        </w:tc>
      </w:tr>
      <w:tr w14:paraId="1BAD4F40">
        <w:tblPrEx>
          <w:tblCellMar>
            <w:top w:w="0" w:type="dxa"/>
            <w:left w:w="108" w:type="dxa"/>
            <w:bottom w:w="0" w:type="dxa"/>
            <w:right w:w="108" w:type="dxa"/>
          </w:tblCellMar>
        </w:tblPrEx>
        <w:trPr>
          <w:trHeight w:val="600" w:hRule="atLeast"/>
        </w:trPr>
        <w:tc>
          <w:tcPr>
            <w:tcW w:w="268" w:type="pct"/>
            <w:vMerge w:val="restart"/>
            <w:tcBorders>
              <w:top w:val="single" w:color="auto" w:sz="8" w:space="0"/>
              <w:left w:val="single" w:color="auto" w:sz="8" w:space="0"/>
              <w:bottom w:val="single" w:color="auto" w:sz="8" w:space="0"/>
              <w:right w:val="single" w:color="auto" w:sz="8" w:space="0"/>
            </w:tcBorders>
            <w:noWrap w:val="0"/>
            <w:vAlign w:val="center"/>
          </w:tcPr>
          <w:p w14:paraId="0D6A0DC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w:t>
            </w:r>
          </w:p>
        </w:tc>
        <w:tc>
          <w:tcPr>
            <w:tcW w:w="385" w:type="pct"/>
            <w:vMerge w:val="restart"/>
            <w:tcBorders>
              <w:top w:val="single" w:color="auto" w:sz="8" w:space="0"/>
              <w:left w:val="single" w:color="auto" w:sz="8" w:space="0"/>
              <w:bottom w:val="single" w:color="auto" w:sz="8" w:space="0"/>
              <w:right w:val="single" w:color="auto" w:sz="8" w:space="0"/>
            </w:tcBorders>
            <w:noWrap w:val="0"/>
            <w:vAlign w:val="center"/>
          </w:tcPr>
          <w:p w14:paraId="0DD98FF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人员要求</w:t>
            </w: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1417FB2A">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男性，年龄45岁以下（包含45岁），无违法犯罪记录，品行端正、无不良嗜好</w:t>
            </w:r>
            <w:r>
              <w:rPr>
                <w:rFonts w:hint="eastAsia" w:asciiTheme="minorEastAsia" w:hAnsiTheme="minorEastAsia" w:eastAsiaTheme="minorEastAsia" w:cstheme="minorEastAsia"/>
                <w:kern w:val="0"/>
                <w:sz w:val="24"/>
                <w:szCs w:val="24"/>
                <w:lang w:eastAsia="zh-CN"/>
              </w:rPr>
              <w:t>。</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50D002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529" w:type="pct"/>
            <w:vMerge w:val="restart"/>
            <w:tcBorders>
              <w:top w:val="single" w:color="auto" w:sz="8" w:space="0"/>
              <w:left w:val="single" w:color="auto" w:sz="8" w:space="0"/>
              <w:bottom w:val="single" w:color="auto" w:sz="8" w:space="0"/>
              <w:right w:val="single" w:color="auto" w:sz="8" w:space="0"/>
            </w:tcBorders>
            <w:noWrap w:val="0"/>
            <w:vAlign w:val="center"/>
          </w:tcPr>
          <w:p w14:paraId="1148BF9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320" w:type="pct"/>
            <w:tcBorders>
              <w:top w:val="single" w:color="auto" w:sz="8" w:space="0"/>
              <w:left w:val="single" w:color="auto" w:sz="8" w:space="0"/>
              <w:bottom w:val="single" w:color="auto" w:sz="8" w:space="0"/>
              <w:right w:val="single" w:color="auto" w:sz="8" w:space="0"/>
            </w:tcBorders>
            <w:noWrap w:val="0"/>
            <w:vAlign w:val="center"/>
          </w:tcPr>
          <w:p w14:paraId="168B411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2478600">
        <w:tblPrEx>
          <w:tblCellMar>
            <w:top w:w="0" w:type="dxa"/>
            <w:left w:w="108" w:type="dxa"/>
            <w:bottom w:w="0" w:type="dxa"/>
            <w:right w:w="108" w:type="dxa"/>
          </w:tblCellMar>
        </w:tblPrEx>
        <w:trPr>
          <w:trHeight w:val="600"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3FD0907D">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sz w:val="24"/>
                <w:szCs w:val="24"/>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300136D3">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sz w:val="24"/>
                <w:szCs w:val="24"/>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069E24D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服务</w:t>
            </w:r>
            <w:r>
              <w:rPr>
                <w:rFonts w:hint="eastAsia" w:asciiTheme="minorEastAsia" w:hAnsiTheme="minorEastAsia" w:eastAsiaTheme="minorEastAsia" w:cstheme="minorEastAsia"/>
                <w:sz w:val="24"/>
                <w:szCs w:val="24"/>
                <w:lang w:eastAsia="zh-CN"/>
              </w:rPr>
              <w:t>人员</w:t>
            </w:r>
            <w:r>
              <w:rPr>
                <w:rFonts w:hint="eastAsia" w:asciiTheme="minorEastAsia" w:hAnsiTheme="minorEastAsia" w:eastAsiaTheme="minorEastAsia" w:cstheme="minorEastAsia"/>
                <w:sz w:val="24"/>
                <w:szCs w:val="24"/>
              </w:rPr>
              <w:t>工作时要着统</w:t>
            </w:r>
            <w:r>
              <w:rPr>
                <w:rFonts w:hint="eastAsia" w:asciiTheme="minorEastAsia" w:hAnsiTheme="minorEastAsia" w:eastAsiaTheme="minorEastAsia" w:cstheme="minorEastAsia"/>
                <w:sz w:val="24"/>
                <w:szCs w:val="24"/>
                <w:lang w:val="en-US" w:eastAsia="zh-CN"/>
              </w:rPr>
              <w:t>一保安制服。</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6E17C37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0014BFA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0668C16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rPr>
            </w:pPr>
          </w:p>
        </w:tc>
      </w:tr>
      <w:tr w14:paraId="6B756C04">
        <w:tblPrEx>
          <w:tblCellMar>
            <w:top w:w="0" w:type="dxa"/>
            <w:left w:w="108" w:type="dxa"/>
            <w:bottom w:w="0" w:type="dxa"/>
            <w:right w:w="108" w:type="dxa"/>
          </w:tblCellMar>
        </w:tblPrEx>
        <w:trPr>
          <w:trHeight w:val="153"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5944FA6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42E3759A">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78F9242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3.保安制服不得与便服混穿，不同季节的保安制服实行统一换装。</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7802430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3BECF27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623B2EF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rPr>
            </w:pPr>
          </w:p>
        </w:tc>
      </w:tr>
      <w:tr w14:paraId="7917C35A">
        <w:tblPrEx>
          <w:tblCellMar>
            <w:top w:w="0" w:type="dxa"/>
            <w:left w:w="108" w:type="dxa"/>
            <w:bottom w:w="0" w:type="dxa"/>
            <w:right w:w="108" w:type="dxa"/>
          </w:tblCellMar>
        </w:tblPrEx>
        <w:trPr>
          <w:trHeight w:val="153"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7C473A45">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sz w:val="24"/>
                <w:szCs w:val="24"/>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04F560B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sz w:val="24"/>
                <w:szCs w:val="24"/>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51BC866F">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4.着保安制服应干净整洁，不准披衣、敞怀、挽袖、卷裤腿、歪戴帽子、穿拖鞋或赤足。</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4046248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57FAACE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6904B7D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57F0CD3">
        <w:tblPrEx>
          <w:tblCellMar>
            <w:top w:w="0" w:type="dxa"/>
            <w:left w:w="108" w:type="dxa"/>
            <w:bottom w:w="0" w:type="dxa"/>
            <w:right w:w="108" w:type="dxa"/>
          </w:tblCellMar>
        </w:tblPrEx>
        <w:trPr>
          <w:trHeight w:val="153"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79DB07C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0795EFA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4D25208F">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5.值勤、站岗时要仪表端庄，站岗一律以立正或跨立姿势站立，注意力集中。</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792279E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1EF5CD8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42FD0A5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63B29C7">
        <w:tblPrEx>
          <w:tblCellMar>
            <w:top w:w="0" w:type="dxa"/>
            <w:left w:w="108" w:type="dxa"/>
            <w:bottom w:w="0" w:type="dxa"/>
            <w:right w:w="108" w:type="dxa"/>
          </w:tblCellMar>
        </w:tblPrEx>
        <w:trPr>
          <w:trHeight w:val="204"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5F6CBA38">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2FBFAE4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6C87652F">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6.不准留长发（帽檐下发长不超过1.5CM)、大鬓角、胡须和指甲。</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78113F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7714D1D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20CF9A0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31573E4">
        <w:tblPrEx>
          <w:tblCellMar>
            <w:top w:w="0" w:type="dxa"/>
            <w:left w:w="108" w:type="dxa"/>
            <w:bottom w:w="0" w:type="dxa"/>
            <w:right w:w="108" w:type="dxa"/>
          </w:tblCellMar>
        </w:tblPrEx>
        <w:trPr>
          <w:trHeight w:val="307"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39FA474A">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sz w:val="24"/>
                <w:szCs w:val="24"/>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10B4C41B">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sz w:val="24"/>
                <w:szCs w:val="24"/>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24D54B92">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7.精神饱满、姿态端庄、动作规范、举止文明。</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755CBF5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231EE3E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0344FA02">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5FE855C">
        <w:tblPrEx>
          <w:tblCellMar>
            <w:top w:w="0" w:type="dxa"/>
            <w:left w:w="108" w:type="dxa"/>
            <w:bottom w:w="0" w:type="dxa"/>
            <w:right w:w="108" w:type="dxa"/>
          </w:tblCellMar>
        </w:tblPrEx>
        <w:trPr>
          <w:trHeight w:val="307"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2211256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sz w:val="24"/>
                <w:szCs w:val="24"/>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0BB2D0A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sz w:val="24"/>
                <w:szCs w:val="24"/>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39593ED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8.工作期间不准袖手、背手、或将手插入衣袋。不准搭肩、挽臂、边走边吸烟、吃东西、扇扇子、嬉笑打闹。不准随地吐痰、乱扔废物。</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529DC20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06DAF38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5C79FC5B">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D578853">
        <w:tblPrEx>
          <w:tblCellMar>
            <w:top w:w="0" w:type="dxa"/>
            <w:left w:w="108" w:type="dxa"/>
            <w:bottom w:w="0" w:type="dxa"/>
            <w:right w:w="108" w:type="dxa"/>
          </w:tblCellMar>
        </w:tblPrEx>
        <w:trPr>
          <w:trHeight w:val="204"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73942BD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556F0D6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21B92D0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9.工作期间严禁饮酒。</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708BB50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443FE3F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552576B8">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33E956B">
        <w:tblPrEx>
          <w:tblCellMar>
            <w:top w:w="0" w:type="dxa"/>
            <w:left w:w="108" w:type="dxa"/>
            <w:bottom w:w="0" w:type="dxa"/>
            <w:right w:w="108" w:type="dxa"/>
          </w:tblCellMar>
        </w:tblPrEx>
        <w:trPr>
          <w:trHeight w:val="151" w:hRule="atLeast"/>
        </w:trPr>
        <w:tc>
          <w:tcPr>
            <w:tcW w:w="268" w:type="pct"/>
            <w:vMerge w:val="restart"/>
            <w:tcBorders>
              <w:top w:val="single" w:color="auto" w:sz="8" w:space="0"/>
              <w:left w:val="single" w:color="auto" w:sz="8" w:space="0"/>
              <w:bottom w:val="single" w:color="auto" w:sz="8" w:space="0"/>
              <w:right w:val="single" w:color="auto" w:sz="8" w:space="0"/>
            </w:tcBorders>
            <w:noWrap w:val="0"/>
            <w:vAlign w:val="center"/>
          </w:tcPr>
          <w:p w14:paraId="3BA0D3A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二</w:t>
            </w:r>
          </w:p>
        </w:tc>
        <w:tc>
          <w:tcPr>
            <w:tcW w:w="385" w:type="pct"/>
            <w:vMerge w:val="restart"/>
            <w:tcBorders>
              <w:top w:val="single" w:color="auto" w:sz="8" w:space="0"/>
              <w:left w:val="single" w:color="auto" w:sz="8" w:space="0"/>
              <w:bottom w:val="single" w:color="auto" w:sz="8" w:space="0"/>
              <w:right w:val="single" w:color="auto" w:sz="8" w:space="0"/>
            </w:tcBorders>
            <w:noWrap w:val="0"/>
            <w:vAlign w:val="center"/>
          </w:tcPr>
          <w:p w14:paraId="4F6C74C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岗位要求</w:t>
            </w: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55CBEA3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熟知岗位职责、能掌握应知应会</w:t>
            </w:r>
            <w:r>
              <w:rPr>
                <w:rFonts w:hint="eastAsia" w:asciiTheme="minorEastAsia" w:hAnsiTheme="minorEastAsia" w:eastAsiaTheme="minorEastAsia" w:cstheme="minorEastAsia"/>
                <w:b w:val="0"/>
                <w:bCs w:val="0"/>
                <w:sz w:val="24"/>
                <w:szCs w:val="24"/>
                <w:highlight w:val="none"/>
                <w:lang w:eastAsia="zh-CN"/>
              </w:rPr>
              <w:t>。</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023E545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p>
        </w:tc>
        <w:tc>
          <w:tcPr>
            <w:tcW w:w="529" w:type="pct"/>
            <w:vMerge w:val="restart"/>
            <w:tcBorders>
              <w:top w:val="single" w:color="auto" w:sz="8" w:space="0"/>
              <w:left w:val="single" w:color="auto" w:sz="8" w:space="0"/>
              <w:bottom w:val="single" w:color="auto" w:sz="8" w:space="0"/>
              <w:right w:val="single" w:color="auto" w:sz="8" w:space="0"/>
            </w:tcBorders>
            <w:noWrap w:val="0"/>
            <w:vAlign w:val="center"/>
          </w:tcPr>
          <w:p w14:paraId="6EF87E9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320" w:type="pct"/>
            <w:tcBorders>
              <w:top w:val="single" w:color="auto" w:sz="8" w:space="0"/>
              <w:left w:val="single" w:color="auto" w:sz="8" w:space="0"/>
              <w:bottom w:val="single" w:color="auto" w:sz="8" w:space="0"/>
              <w:right w:val="single" w:color="auto" w:sz="8" w:space="0"/>
            </w:tcBorders>
            <w:noWrap w:val="0"/>
            <w:vAlign w:val="center"/>
          </w:tcPr>
          <w:p w14:paraId="60C03D0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p>
        </w:tc>
      </w:tr>
      <w:tr w14:paraId="64BDF40A">
        <w:tblPrEx>
          <w:tblCellMar>
            <w:top w:w="0" w:type="dxa"/>
            <w:left w:w="108" w:type="dxa"/>
            <w:bottom w:w="0" w:type="dxa"/>
            <w:right w:w="108" w:type="dxa"/>
          </w:tblCellMar>
        </w:tblPrEx>
        <w:trPr>
          <w:trHeight w:val="151"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597EA64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1B68E5A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3B2A7DF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2.在工作中使用语言要简洁准确、文明规范、接触客户时说话要和气，应使用“您好”、“请”、“您”、“谢谢”、“对不起”、“再见”等文明礼貌用语。</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6ABBDD8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6F71EE2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67ACCEA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r>
      <w:tr w14:paraId="1EAFDACC">
        <w:tblPrEx>
          <w:tblCellMar>
            <w:top w:w="0" w:type="dxa"/>
            <w:left w:w="108" w:type="dxa"/>
            <w:bottom w:w="0" w:type="dxa"/>
            <w:right w:w="108" w:type="dxa"/>
          </w:tblCellMar>
        </w:tblPrEx>
        <w:trPr>
          <w:trHeight w:val="151"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4F8E978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2D5690B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2F5030F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3.值勤时应讲普通话。</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6407CAB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39EB513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2FDBC22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r>
      <w:tr w14:paraId="4E284AFA">
        <w:tblPrEx>
          <w:tblCellMar>
            <w:top w:w="0" w:type="dxa"/>
            <w:left w:w="108" w:type="dxa"/>
            <w:bottom w:w="0" w:type="dxa"/>
            <w:right w:w="108" w:type="dxa"/>
          </w:tblCellMar>
        </w:tblPrEx>
        <w:trPr>
          <w:trHeight w:val="511"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14EAF03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7235077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15BCF1B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来访人员主动接待，待人热情有礼貌</w:t>
            </w:r>
            <w:r>
              <w:rPr>
                <w:rFonts w:hint="eastAsia" w:asciiTheme="minorEastAsia" w:hAnsiTheme="minorEastAsia" w:eastAsiaTheme="minorEastAsia" w:cstheme="minorEastAsia"/>
                <w:b w:val="0"/>
                <w:bCs w:val="0"/>
                <w:sz w:val="24"/>
                <w:szCs w:val="24"/>
                <w:highlight w:val="none"/>
                <w:lang w:eastAsia="zh-CN"/>
              </w:rPr>
              <w:t>。</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71E8343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54F78EA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7CAF938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rPr>
            </w:pPr>
          </w:p>
        </w:tc>
      </w:tr>
      <w:tr w14:paraId="4AE1A7FC">
        <w:tblPrEx>
          <w:tblCellMar>
            <w:top w:w="0" w:type="dxa"/>
            <w:left w:w="108" w:type="dxa"/>
            <w:bottom w:w="0" w:type="dxa"/>
            <w:right w:w="108" w:type="dxa"/>
          </w:tblCellMar>
        </w:tblPrEx>
        <w:trPr>
          <w:trHeight w:val="58"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091D0F2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37FCE58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3B32E0C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5.严格在规定范围内开展保安服务工作，不准超越职责权限。发现有超越范围、权限的。一经发现如不经领导同意，向其他单位或个提供保安服务的。</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0178C6C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7C67510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736DC04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702C82D">
        <w:tblPrEx>
          <w:tblCellMar>
            <w:top w:w="0" w:type="dxa"/>
            <w:left w:w="108" w:type="dxa"/>
            <w:bottom w:w="0" w:type="dxa"/>
            <w:right w:w="108" w:type="dxa"/>
          </w:tblCellMar>
        </w:tblPrEx>
        <w:trPr>
          <w:trHeight w:val="58"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717B101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140BE95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0332355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6.岗位上严禁玩手机、吃东西、吸烟、聊天、打闹、打私人电话、听收录机、看书报、接待朋友等与工作岗位无关的事情。</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543F51D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0FC287C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578326F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C880656">
        <w:tblPrEx>
          <w:tblCellMar>
            <w:top w:w="0" w:type="dxa"/>
            <w:left w:w="108" w:type="dxa"/>
            <w:bottom w:w="0" w:type="dxa"/>
            <w:right w:w="108" w:type="dxa"/>
          </w:tblCellMar>
        </w:tblPrEx>
        <w:trPr>
          <w:trHeight w:val="58"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3F4DA47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6A58A90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35AAB3E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7.不准刁难客户。</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0904385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09EDDB7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242E5B8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F7E1947">
        <w:tblPrEx>
          <w:tblCellMar>
            <w:top w:w="0" w:type="dxa"/>
            <w:left w:w="108" w:type="dxa"/>
            <w:bottom w:w="0" w:type="dxa"/>
            <w:right w:w="108" w:type="dxa"/>
          </w:tblCellMar>
        </w:tblPrEx>
        <w:trPr>
          <w:trHeight w:val="52"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325B725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0521598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24E8A33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8.不准脱岗、空岗、睡岗。</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49A15BF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3A67A08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44953A0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7B1A58D2">
        <w:tblPrEx>
          <w:tblCellMar>
            <w:top w:w="0" w:type="dxa"/>
            <w:left w:w="108" w:type="dxa"/>
            <w:bottom w:w="0" w:type="dxa"/>
            <w:right w:w="108" w:type="dxa"/>
          </w:tblCellMar>
        </w:tblPrEx>
        <w:trPr>
          <w:trHeight w:val="52"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416B668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4245947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6B7FEBF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9.不准迟到、早退、私自换班／岗。</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478A316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71336BA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048B371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C047516">
        <w:tblPrEx>
          <w:tblCellMar>
            <w:top w:w="0" w:type="dxa"/>
            <w:left w:w="108" w:type="dxa"/>
            <w:bottom w:w="0" w:type="dxa"/>
            <w:right w:w="108" w:type="dxa"/>
          </w:tblCellMar>
        </w:tblPrEx>
        <w:trPr>
          <w:trHeight w:val="52"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1F45D48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4FA48E7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70DBC14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10.对客户单位内部的机密事项，不准随意打听、记录、传播。</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1B1FBD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6FD19FD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3D32C12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73C844F3">
        <w:tblPrEx>
          <w:tblCellMar>
            <w:top w:w="0" w:type="dxa"/>
            <w:left w:w="108" w:type="dxa"/>
            <w:bottom w:w="0" w:type="dxa"/>
            <w:right w:w="108" w:type="dxa"/>
          </w:tblCellMar>
        </w:tblPrEx>
        <w:trPr>
          <w:trHeight w:val="52"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7F4C22B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71C7F5F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1B9B23C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11.未经允许不准动客户物品</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47803A4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54961E7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7002158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D4E845B">
        <w:tblPrEx>
          <w:tblCellMar>
            <w:top w:w="0" w:type="dxa"/>
            <w:left w:w="108" w:type="dxa"/>
            <w:bottom w:w="0" w:type="dxa"/>
            <w:right w:w="108" w:type="dxa"/>
          </w:tblCellMar>
        </w:tblPrEx>
        <w:trPr>
          <w:trHeight w:val="52"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4194346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0538061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7456D91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12.未经允许不准接受客户赠送的礼品。</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0E04F01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4DBF448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27F00D4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B87BAB4">
        <w:tblPrEx>
          <w:tblCellMar>
            <w:top w:w="0" w:type="dxa"/>
            <w:left w:w="108" w:type="dxa"/>
            <w:bottom w:w="0" w:type="dxa"/>
            <w:right w:w="108" w:type="dxa"/>
          </w:tblCellMar>
        </w:tblPrEx>
        <w:trPr>
          <w:trHeight w:val="62"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2959D22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75A2E90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1C0C1EB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13.有重要情况要妥善处置，及时上报，不准迟报、漏报、误报或隐瞒不报。</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6AE328D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5D78E51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2D50FEE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10144F6">
        <w:tblPrEx>
          <w:tblCellMar>
            <w:top w:w="0" w:type="dxa"/>
            <w:left w:w="108" w:type="dxa"/>
            <w:bottom w:w="0" w:type="dxa"/>
            <w:right w:w="108" w:type="dxa"/>
          </w:tblCellMar>
        </w:tblPrEx>
        <w:trPr>
          <w:trHeight w:val="62"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7E4E43F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4B00F77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277E935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14.认真做好值班记录，做好交接班工作。</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1C61A07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116E1D3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51A8FBD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19CCA54">
        <w:tblPrEx>
          <w:tblCellMar>
            <w:top w:w="0" w:type="dxa"/>
            <w:left w:w="108" w:type="dxa"/>
            <w:bottom w:w="0" w:type="dxa"/>
            <w:right w:w="108" w:type="dxa"/>
          </w:tblCellMar>
        </w:tblPrEx>
        <w:trPr>
          <w:trHeight w:val="62"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392DE26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649BA0A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493A185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15.对工作认真负责，搞高服务质量</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4E9FC75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63C05DF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0B501FD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2074EB90">
        <w:tblPrEx>
          <w:tblCellMar>
            <w:top w:w="0" w:type="dxa"/>
            <w:left w:w="108" w:type="dxa"/>
            <w:bottom w:w="0" w:type="dxa"/>
            <w:right w:w="108" w:type="dxa"/>
          </w:tblCellMar>
        </w:tblPrEx>
        <w:trPr>
          <w:trHeight w:val="62"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0547A08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0A023E6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10F10D7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16.在服务过程中严禁发生有效投诉。</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4B9B013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70D64EF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008FDA1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66C3D0E">
        <w:tblPrEx>
          <w:tblCellMar>
            <w:top w:w="0" w:type="dxa"/>
            <w:left w:w="108" w:type="dxa"/>
            <w:bottom w:w="0" w:type="dxa"/>
            <w:right w:w="108" w:type="dxa"/>
          </w:tblCellMar>
        </w:tblPrEx>
        <w:trPr>
          <w:trHeight w:val="90" w:hRule="atLeast"/>
        </w:trPr>
        <w:tc>
          <w:tcPr>
            <w:tcW w:w="268" w:type="pct"/>
            <w:tcBorders>
              <w:top w:val="single" w:color="auto" w:sz="8" w:space="0"/>
              <w:left w:val="single" w:color="auto" w:sz="8" w:space="0"/>
              <w:bottom w:val="single" w:color="auto" w:sz="8" w:space="0"/>
              <w:right w:val="single" w:color="auto" w:sz="8" w:space="0"/>
            </w:tcBorders>
            <w:noWrap w:val="0"/>
            <w:vAlign w:val="center"/>
          </w:tcPr>
          <w:p w14:paraId="5CDC458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三</w:t>
            </w:r>
          </w:p>
        </w:tc>
        <w:tc>
          <w:tcPr>
            <w:tcW w:w="385" w:type="pct"/>
            <w:tcBorders>
              <w:top w:val="single" w:color="auto" w:sz="8" w:space="0"/>
              <w:left w:val="single" w:color="auto" w:sz="8" w:space="0"/>
              <w:bottom w:val="single" w:color="auto" w:sz="8" w:space="0"/>
              <w:right w:val="single" w:color="auto" w:sz="8" w:space="0"/>
            </w:tcBorders>
            <w:noWrap w:val="0"/>
            <w:vAlign w:val="center"/>
          </w:tcPr>
          <w:p w14:paraId="5AF93BA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人员培训</w:t>
            </w: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6484A10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rPr>
              <w:t>对拟派人员的言行规范、仪表仪容、公众形象等进行培训。另外，必需进行必要的队列训练和军姿训练。</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697059D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w:t>
            </w:r>
          </w:p>
        </w:tc>
        <w:tc>
          <w:tcPr>
            <w:tcW w:w="529" w:type="pct"/>
            <w:tcBorders>
              <w:top w:val="single" w:color="auto" w:sz="8" w:space="0"/>
              <w:left w:val="single" w:color="auto" w:sz="8" w:space="0"/>
              <w:bottom w:val="single" w:color="auto" w:sz="8" w:space="0"/>
              <w:right w:val="single" w:color="auto" w:sz="8" w:space="0"/>
            </w:tcBorders>
            <w:noWrap w:val="0"/>
            <w:vAlign w:val="center"/>
          </w:tcPr>
          <w:p w14:paraId="5BD4291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320" w:type="pct"/>
            <w:tcBorders>
              <w:top w:val="single" w:color="auto" w:sz="8" w:space="0"/>
              <w:left w:val="single" w:color="auto" w:sz="8" w:space="0"/>
              <w:bottom w:val="single" w:color="auto" w:sz="8" w:space="0"/>
              <w:right w:val="single" w:color="auto" w:sz="8" w:space="0"/>
            </w:tcBorders>
            <w:noWrap w:val="0"/>
            <w:vAlign w:val="center"/>
          </w:tcPr>
          <w:p w14:paraId="71EC1F1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p>
        </w:tc>
      </w:tr>
      <w:tr w14:paraId="23C0E55D">
        <w:tblPrEx>
          <w:tblCellMar>
            <w:top w:w="0" w:type="dxa"/>
            <w:left w:w="108" w:type="dxa"/>
            <w:bottom w:w="0" w:type="dxa"/>
            <w:right w:w="108" w:type="dxa"/>
          </w:tblCellMar>
        </w:tblPrEx>
        <w:trPr>
          <w:trHeight w:val="364" w:hRule="atLeast"/>
        </w:trPr>
        <w:tc>
          <w:tcPr>
            <w:tcW w:w="268" w:type="pct"/>
            <w:vMerge w:val="restart"/>
            <w:tcBorders>
              <w:top w:val="single" w:color="auto" w:sz="8" w:space="0"/>
              <w:left w:val="single" w:color="auto" w:sz="8" w:space="0"/>
              <w:bottom w:val="single" w:color="auto" w:sz="8" w:space="0"/>
              <w:right w:val="single" w:color="auto" w:sz="8" w:space="0"/>
            </w:tcBorders>
            <w:noWrap w:val="0"/>
            <w:vAlign w:val="center"/>
          </w:tcPr>
          <w:p w14:paraId="7AA8D53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四</w:t>
            </w:r>
          </w:p>
        </w:tc>
        <w:tc>
          <w:tcPr>
            <w:tcW w:w="385" w:type="pct"/>
            <w:vMerge w:val="restart"/>
            <w:tcBorders>
              <w:top w:val="single" w:color="auto" w:sz="8" w:space="0"/>
              <w:left w:val="single" w:color="auto" w:sz="8" w:space="0"/>
              <w:bottom w:val="single" w:color="auto" w:sz="8" w:space="0"/>
              <w:right w:val="single" w:color="auto" w:sz="8" w:space="0"/>
            </w:tcBorders>
            <w:noWrap w:val="0"/>
            <w:vAlign w:val="center"/>
          </w:tcPr>
          <w:p w14:paraId="3B7CE8C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门卫管理</w:t>
            </w: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2D737A6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重要出入口24小时值班</w:t>
            </w:r>
            <w:r>
              <w:rPr>
                <w:rFonts w:hint="eastAsia" w:asciiTheme="minorEastAsia" w:hAnsiTheme="minorEastAsia" w:eastAsiaTheme="minorEastAsia" w:cstheme="minorEastAsia"/>
                <w:b w:val="0"/>
                <w:bCs w:val="0"/>
                <w:sz w:val="24"/>
                <w:szCs w:val="24"/>
                <w:highlight w:val="none"/>
                <w:lang w:eastAsia="zh-CN"/>
              </w:rPr>
              <w:t>。</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206A414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p>
        </w:tc>
        <w:tc>
          <w:tcPr>
            <w:tcW w:w="529" w:type="pct"/>
            <w:vMerge w:val="restart"/>
            <w:tcBorders>
              <w:top w:val="single" w:color="auto" w:sz="8" w:space="0"/>
              <w:left w:val="single" w:color="auto" w:sz="8" w:space="0"/>
              <w:bottom w:val="single" w:color="auto" w:sz="8" w:space="0"/>
              <w:right w:val="single" w:color="auto" w:sz="8" w:space="0"/>
            </w:tcBorders>
            <w:noWrap w:val="0"/>
            <w:vAlign w:val="center"/>
          </w:tcPr>
          <w:p w14:paraId="6CC3BE0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320" w:type="pct"/>
            <w:tcBorders>
              <w:top w:val="single" w:color="auto" w:sz="8" w:space="0"/>
              <w:left w:val="single" w:color="auto" w:sz="8" w:space="0"/>
              <w:bottom w:val="single" w:color="auto" w:sz="8" w:space="0"/>
              <w:right w:val="single" w:color="auto" w:sz="8" w:space="0"/>
            </w:tcBorders>
            <w:noWrap w:val="0"/>
            <w:vAlign w:val="center"/>
          </w:tcPr>
          <w:p w14:paraId="6596768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val="en-US" w:eastAsia="zh-CN"/>
              </w:rPr>
            </w:pPr>
          </w:p>
        </w:tc>
      </w:tr>
      <w:tr w14:paraId="4F411DDF">
        <w:tblPrEx>
          <w:tblCellMar>
            <w:top w:w="0" w:type="dxa"/>
            <w:left w:w="108" w:type="dxa"/>
            <w:bottom w:w="0" w:type="dxa"/>
            <w:right w:w="108" w:type="dxa"/>
          </w:tblCellMar>
        </w:tblPrEx>
        <w:trPr>
          <w:trHeight w:val="364"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08B0A4A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6AD86F6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10EC10E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2.按规定严格执行相关管理制度，</w:t>
            </w:r>
            <w:r>
              <w:rPr>
                <w:rFonts w:hint="eastAsia" w:asciiTheme="minorEastAsia" w:hAnsiTheme="minorEastAsia" w:eastAsiaTheme="minorEastAsia" w:cstheme="minorEastAsia"/>
                <w:b w:val="0"/>
                <w:bCs w:val="0"/>
                <w:sz w:val="24"/>
                <w:szCs w:val="24"/>
                <w:highlight w:val="none"/>
              </w:rPr>
              <w:t>对外来人员逐一验证、登记及必要安检，若发现疑点，应及时、认真询问，防止闲杂人员进入</w:t>
            </w:r>
            <w:r>
              <w:rPr>
                <w:rFonts w:hint="eastAsia" w:asciiTheme="minorEastAsia" w:hAnsiTheme="minorEastAsia" w:eastAsiaTheme="minorEastAsia" w:cstheme="minorEastAsia"/>
                <w:b w:val="0"/>
                <w:bCs w:val="0"/>
                <w:sz w:val="24"/>
                <w:szCs w:val="24"/>
                <w:highlight w:val="none"/>
                <w:lang w:eastAsia="zh-CN"/>
              </w:rPr>
              <w:t>。</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0C3728D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754CF32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1F2B4F8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C3B9635">
        <w:tblPrEx>
          <w:tblCellMar>
            <w:top w:w="0" w:type="dxa"/>
            <w:left w:w="108" w:type="dxa"/>
            <w:bottom w:w="0" w:type="dxa"/>
            <w:right w:w="108" w:type="dxa"/>
          </w:tblCellMar>
        </w:tblPrEx>
        <w:trPr>
          <w:trHeight w:val="364"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0CA5B77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6C8D136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094354D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配合机关信访、保卫部门积极疏导上访人员</w:t>
            </w:r>
            <w:r>
              <w:rPr>
                <w:rFonts w:hint="eastAsia" w:asciiTheme="minorEastAsia" w:hAnsiTheme="minorEastAsia" w:eastAsiaTheme="minorEastAsia" w:cstheme="minorEastAsia"/>
                <w:b w:val="0"/>
                <w:bCs w:val="0"/>
                <w:sz w:val="24"/>
                <w:szCs w:val="24"/>
                <w:highlight w:val="none"/>
                <w:lang w:eastAsia="zh-CN"/>
              </w:rPr>
              <w:t>。</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3F26BBF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6DAF257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530CFD5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7A6C43B9">
        <w:tblPrEx>
          <w:tblCellMar>
            <w:top w:w="0" w:type="dxa"/>
            <w:left w:w="108" w:type="dxa"/>
            <w:bottom w:w="0" w:type="dxa"/>
            <w:right w:w="108" w:type="dxa"/>
          </w:tblCellMar>
        </w:tblPrEx>
        <w:trPr>
          <w:trHeight w:val="364"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2767086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4E987325">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794D931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对外来车辆逐一核对、登记，防止无准入许可的车辆进入</w:t>
            </w:r>
            <w:r>
              <w:rPr>
                <w:rFonts w:hint="eastAsia" w:asciiTheme="minorEastAsia" w:hAnsiTheme="minorEastAsia" w:eastAsiaTheme="minorEastAsia" w:cstheme="minorEastAsia"/>
                <w:b w:val="0"/>
                <w:bCs w:val="0"/>
                <w:sz w:val="24"/>
                <w:szCs w:val="24"/>
                <w:highlight w:val="none"/>
                <w:lang w:eastAsia="zh-CN"/>
              </w:rPr>
              <w:t>。</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17F0E28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74593C5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0581CAC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73302128">
        <w:tblPrEx>
          <w:tblCellMar>
            <w:top w:w="0" w:type="dxa"/>
            <w:left w:w="108" w:type="dxa"/>
            <w:bottom w:w="0" w:type="dxa"/>
            <w:right w:w="108" w:type="dxa"/>
          </w:tblCellMar>
        </w:tblPrEx>
        <w:trPr>
          <w:trHeight w:val="364"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63A5F4E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7707B7C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20598E4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有效疏导进出车辆，保持出入畅通</w:t>
            </w:r>
            <w:r>
              <w:rPr>
                <w:rFonts w:hint="eastAsia" w:asciiTheme="minorEastAsia" w:hAnsiTheme="minorEastAsia" w:eastAsiaTheme="minorEastAsia" w:cstheme="minorEastAsia"/>
                <w:b w:val="0"/>
                <w:bCs w:val="0"/>
                <w:sz w:val="24"/>
                <w:szCs w:val="24"/>
                <w:highlight w:val="none"/>
                <w:lang w:eastAsia="zh-CN"/>
              </w:rPr>
              <w:t>。</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24D94F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20B5716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5E77A92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AE52F63">
        <w:tblPrEx>
          <w:tblCellMar>
            <w:top w:w="0" w:type="dxa"/>
            <w:left w:w="108" w:type="dxa"/>
            <w:bottom w:w="0" w:type="dxa"/>
            <w:right w:w="108" w:type="dxa"/>
          </w:tblCellMar>
        </w:tblPrEx>
        <w:trPr>
          <w:trHeight w:val="364"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69FB046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2EBC659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04FC71C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6.根据货物进出及车辆管理规定，</w:t>
            </w:r>
            <w:r>
              <w:rPr>
                <w:rFonts w:hint="eastAsia" w:asciiTheme="minorEastAsia" w:hAnsiTheme="minorEastAsia" w:eastAsiaTheme="minorEastAsia" w:cstheme="minorEastAsia"/>
                <w:b w:val="0"/>
                <w:bCs w:val="0"/>
                <w:sz w:val="24"/>
                <w:szCs w:val="24"/>
                <w:highlight w:val="none"/>
              </w:rPr>
              <w:t>对进出物品实施分类记录，对大宗物品应当审验，对携带或装运的物品进行查验，严防危险物品进入</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防止</w:t>
            </w:r>
            <w:r>
              <w:rPr>
                <w:rFonts w:hint="eastAsia" w:asciiTheme="minorEastAsia" w:hAnsiTheme="minorEastAsia" w:eastAsiaTheme="minorEastAsia" w:cstheme="minorEastAsia"/>
                <w:b w:val="0"/>
                <w:bCs w:val="0"/>
                <w:sz w:val="24"/>
                <w:szCs w:val="24"/>
                <w:highlight w:val="none"/>
                <w:lang w:val="en-US" w:eastAsia="zh-CN"/>
              </w:rPr>
              <w:t>项目</w:t>
            </w:r>
            <w:r>
              <w:rPr>
                <w:rFonts w:hint="eastAsia" w:asciiTheme="minorEastAsia" w:hAnsiTheme="minorEastAsia" w:eastAsiaTheme="minorEastAsia" w:cstheme="minorEastAsia"/>
                <w:b w:val="0"/>
                <w:bCs w:val="0"/>
                <w:sz w:val="24"/>
                <w:szCs w:val="24"/>
                <w:highlight w:val="none"/>
              </w:rPr>
              <w:t>财物流失。</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53824A6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4D4FC59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2C56FB9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3F9A076">
        <w:tblPrEx>
          <w:tblCellMar>
            <w:top w:w="0" w:type="dxa"/>
            <w:left w:w="108" w:type="dxa"/>
            <w:bottom w:w="0" w:type="dxa"/>
            <w:right w:w="108" w:type="dxa"/>
          </w:tblCellMar>
        </w:tblPrEx>
        <w:trPr>
          <w:trHeight w:val="501"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566DF3A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3F23E55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6DC6F97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7.做好信件、快递收发，做到及时、准确。</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432F6B1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79246D4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3636CDC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rPr>
            </w:pPr>
          </w:p>
        </w:tc>
      </w:tr>
      <w:tr w14:paraId="2AD827F7">
        <w:tblPrEx>
          <w:tblCellMar>
            <w:top w:w="0" w:type="dxa"/>
            <w:left w:w="108" w:type="dxa"/>
            <w:bottom w:w="0" w:type="dxa"/>
            <w:right w:w="108" w:type="dxa"/>
          </w:tblCellMar>
        </w:tblPrEx>
        <w:trPr>
          <w:trHeight w:val="501" w:hRule="atLeast"/>
        </w:trPr>
        <w:tc>
          <w:tcPr>
            <w:tcW w:w="268" w:type="pct"/>
            <w:vMerge w:val="restart"/>
            <w:tcBorders>
              <w:top w:val="single" w:color="auto" w:sz="8" w:space="0"/>
              <w:left w:val="single" w:color="auto" w:sz="8" w:space="0"/>
              <w:bottom w:val="single" w:color="auto" w:sz="8" w:space="0"/>
              <w:right w:val="single" w:color="auto" w:sz="8" w:space="0"/>
            </w:tcBorders>
            <w:noWrap w:val="0"/>
            <w:vAlign w:val="center"/>
          </w:tcPr>
          <w:p w14:paraId="04E26F2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五</w:t>
            </w:r>
          </w:p>
        </w:tc>
        <w:tc>
          <w:tcPr>
            <w:tcW w:w="385" w:type="pct"/>
            <w:vMerge w:val="restart"/>
            <w:tcBorders>
              <w:top w:val="single" w:color="auto" w:sz="8" w:space="0"/>
              <w:left w:val="single" w:color="auto" w:sz="8" w:space="0"/>
              <w:bottom w:val="single" w:color="auto" w:sz="8" w:space="0"/>
              <w:right w:val="single" w:color="auto" w:sz="8" w:space="0"/>
            </w:tcBorders>
            <w:noWrap w:val="0"/>
            <w:vAlign w:val="center"/>
          </w:tcPr>
          <w:p w14:paraId="1777C9B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值班巡查</w:t>
            </w: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4A5DA4E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1.严格执行单位保安巡逻制度，</w:t>
            </w:r>
            <w:r>
              <w:rPr>
                <w:rFonts w:hint="eastAsia" w:asciiTheme="minorEastAsia" w:hAnsiTheme="minorEastAsia" w:eastAsiaTheme="minorEastAsia" w:cstheme="minorEastAsia"/>
                <w:b w:val="0"/>
                <w:bCs w:val="0"/>
                <w:sz w:val="24"/>
                <w:szCs w:val="24"/>
                <w:highlight w:val="none"/>
              </w:rPr>
              <w:t>落实24小时值班巡查制度，保证值班电话24小时畅通</w:t>
            </w:r>
            <w:r>
              <w:rPr>
                <w:rFonts w:hint="eastAsia" w:asciiTheme="minorEastAsia" w:hAnsiTheme="minorEastAsia" w:eastAsiaTheme="minorEastAsia" w:cstheme="minorEastAsia"/>
                <w:b w:val="0"/>
                <w:bCs w:val="0"/>
                <w:sz w:val="24"/>
                <w:szCs w:val="24"/>
                <w:highlight w:val="none"/>
                <w:lang w:eastAsia="zh-CN"/>
              </w:rPr>
              <w:t>，保安人员对辖区服务范围目标进行巡查警戒，保卫客户</w:t>
            </w:r>
            <w:r>
              <w:rPr>
                <w:rFonts w:hint="eastAsia" w:asciiTheme="minorEastAsia" w:hAnsiTheme="minorEastAsia" w:eastAsiaTheme="minorEastAsia" w:cstheme="minorEastAsia"/>
                <w:b w:val="0"/>
                <w:bCs w:val="0"/>
                <w:sz w:val="24"/>
                <w:szCs w:val="24"/>
                <w:highlight w:val="none"/>
                <w:lang w:val="en-US" w:eastAsia="zh-CN"/>
              </w:rPr>
              <w:t>安全</w:t>
            </w:r>
            <w:r>
              <w:rPr>
                <w:rFonts w:hint="eastAsia" w:asciiTheme="minorEastAsia" w:hAnsiTheme="minorEastAsia" w:eastAsiaTheme="minorEastAsia" w:cstheme="minorEastAsia"/>
                <w:b w:val="0"/>
                <w:bCs w:val="0"/>
                <w:sz w:val="24"/>
                <w:szCs w:val="24"/>
                <w:highlight w:val="none"/>
                <w:lang w:eastAsia="zh-CN"/>
              </w:rPr>
              <w:t>和公共安全。</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2D6D353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p>
        </w:tc>
        <w:tc>
          <w:tcPr>
            <w:tcW w:w="529" w:type="pct"/>
            <w:vMerge w:val="restart"/>
            <w:tcBorders>
              <w:top w:val="single" w:color="auto" w:sz="8" w:space="0"/>
              <w:left w:val="single" w:color="auto" w:sz="8" w:space="0"/>
              <w:bottom w:val="single" w:color="auto" w:sz="8" w:space="0"/>
              <w:right w:val="single" w:color="auto" w:sz="8" w:space="0"/>
            </w:tcBorders>
            <w:noWrap w:val="0"/>
            <w:vAlign w:val="center"/>
          </w:tcPr>
          <w:p w14:paraId="1CCCAA1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320" w:type="pct"/>
            <w:tcBorders>
              <w:top w:val="single" w:color="auto" w:sz="8" w:space="0"/>
              <w:left w:val="single" w:color="auto" w:sz="8" w:space="0"/>
              <w:bottom w:val="single" w:color="auto" w:sz="8" w:space="0"/>
              <w:right w:val="single" w:color="auto" w:sz="8" w:space="0"/>
            </w:tcBorders>
            <w:noWrap w:val="0"/>
            <w:vAlign w:val="center"/>
          </w:tcPr>
          <w:p w14:paraId="23B0E7D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rPr>
            </w:pPr>
          </w:p>
        </w:tc>
      </w:tr>
      <w:tr w14:paraId="10637F29">
        <w:tblPrEx>
          <w:tblCellMar>
            <w:top w:w="0" w:type="dxa"/>
            <w:left w:w="108" w:type="dxa"/>
            <w:bottom w:w="0" w:type="dxa"/>
            <w:right w:w="108" w:type="dxa"/>
          </w:tblCellMar>
        </w:tblPrEx>
        <w:trPr>
          <w:trHeight w:val="458"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6E59B6A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52C3CD3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11935F7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根据机关保卫部门要求，合理安排巡查路线，确保重点部位全覆盖</w:t>
            </w:r>
            <w:r>
              <w:rPr>
                <w:rFonts w:hint="eastAsia" w:asciiTheme="minorEastAsia" w:hAnsiTheme="minorEastAsia" w:eastAsiaTheme="minorEastAsia" w:cstheme="minorEastAsia"/>
                <w:b w:val="0"/>
                <w:bCs w:val="0"/>
                <w:sz w:val="24"/>
                <w:szCs w:val="24"/>
                <w:highlight w:val="none"/>
                <w:lang w:eastAsia="zh-CN"/>
              </w:rPr>
              <w:t>，震慑不法分子，使不法分子打消不法侵害的企图。</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64D646A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7DD259A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7F914B5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33D2467D">
        <w:tblPrEx>
          <w:tblCellMar>
            <w:top w:w="0" w:type="dxa"/>
            <w:left w:w="108" w:type="dxa"/>
            <w:bottom w:w="0" w:type="dxa"/>
            <w:right w:w="108" w:type="dxa"/>
          </w:tblCellMar>
        </w:tblPrEx>
        <w:trPr>
          <w:trHeight w:val="458"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66C99A4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250B2E8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3943CA3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3.通过巡逻发现可疑人员时，对其进行询问，对有作案嫌疑的，应及时布控，上报有关领导处理。</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28B6954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35A33D4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2F9A8BF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B362468">
        <w:tblPrEx>
          <w:tblCellMar>
            <w:top w:w="0" w:type="dxa"/>
            <w:left w:w="108" w:type="dxa"/>
            <w:bottom w:w="0" w:type="dxa"/>
            <w:right w:w="108" w:type="dxa"/>
          </w:tblCellMar>
        </w:tblPrEx>
        <w:trPr>
          <w:trHeight w:val="201"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6ABEE61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79AA287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2F736F6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发现违规行为应及时制止，发现异常情况应立即通知相关部门并在现场采取必要措施</w:t>
            </w:r>
            <w:r>
              <w:rPr>
                <w:rFonts w:hint="eastAsia" w:asciiTheme="minorEastAsia" w:hAnsiTheme="minorEastAsia" w:eastAsiaTheme="minorEastAsia" w:cstheme="minorEastAsia"/>
                <w:b w:val="0"/>
                <w:bCs w:val="0"/>
                <w:sz w:val="24"/>
                <w:szCs w:val="24"/>
                <w:highlight w:val="none"/>
                <w:lang w:eastAsia="zh-CN"/>
              </w:rPr>
              <w:t>。</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6FC7E0B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5FD207E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690E34B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1C638394">
        <w:tblPrEx>
          <w:tblCellMar>
            <w:top w:w="0" w:type="dxa"/>
            <w:left w:w="108" w:type="dxa"/>
            <w:bottom w:w="0" w:type="dxa"/>
            <w:right w:w="108" w:type="dxa"/>
          </w:tblCellMar>
        </w:tblPrEx>
        <w:trPr>
          <w:trHeight w:val="201"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1939389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37BC4BB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5E726AD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5.检查中及时消除各种不安全隐患，包括防火、防盗、防自然灾害、设施设备及跑、冒、滴、漏等事故发生。</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02DF5C7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543B17A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66CCFCA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74A9CE3B">
        <w:tblPrEx>
          <w:tblCellMar>
            <w:top w:w="0" w:type="dxa"/>
            <w:left w:w="108" w:type="dxa"/>
            <w:bottom w:w="0" w:type="dxa"/>
            <w:right w:w="108" w:type="dxa"/>
          </w:tblCellMar>
        </w:tblPrEx>
        <w:trPr>
          <w:trHeight w:val="501"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66264D6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1BA51D3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68259CB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w:t>
            </w:r>
            <w:r>
              <w:rPr>
                <w:rFonts w:hint="eastAsia" w:asciiTheme="minorEastAsia" w:hAnsiTheme="minorEastAsia" w:eastAsiaTheme="minorEastAsia" w:cstheme="minorEastAsia"/>
                <w:b w:val="0"/>
                <w:bCs w:val="0"/>
                <w:sz w:val="24"/>
                <w:szCs w:val="24"/>
                <w:highlight w:val="none"/>
              </w:rPr>
              <w:t>收到监控中心指令后，巡查人员应及时到达指定地点并迅速采取相应措施</w:t>
            </w:r>
            <w:r>
              <w:rPr>
                <w:rFonts w:hint="eastAsia" w:asciiTheme="minorEastAsia" w:hAnsiTheme="minorEastAsia" w:eastAsiaTheme="minorEastAsia" w:cstheme="minorEastAsia"/>
                <w:b w:val="0"/>
                <w:bCs w:val="0"/>
                <w:sz w:val="24"/>
                <w:szCs w:val="24"/>
                <w:highlight w:val="none"/>
                <w:lang w:eastAsia="zh-CN"/>
              </w:rPr>
              <w:t>。</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75D1AF6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0256BFA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0E2138E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432053C3">
        <w:tblPrEx>
          <w:tblCellMar>
            <w:top w:w="0" w:type="dxa"/>
            <w:left w:w="108" w:type="dxa"/>
            <w:bottom w:w="0" w:type="dxa"/>
            <w:right w:w="108" w:type="dxa"/>
          </w:tblCellMar>
        </w:tblPrEx>
        <w:trPr>
          <w:trHeight w:val="501"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6D7EE57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3415C35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4A28955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w:t>
            </w:r>
            <w:r>
              <w:rPr>
                <w:rFonts w:hint="eastAsia" w:asciiTheme="minorEastAsia" w:hAnsiTheme="minorEastAsia" w:eastAsiaTheme="minorEastAsia" w:cstheme="minorEastAsia"/>
                <w:b w:val="0"/>
                <w:bCs w:val="0"/>
                <w:sz w:val="24"/>
                <w:szCs w:val="24"/>
                <w:highlight w:val="none"/>
              </w:rPr>
              <w:t>发现消火栓、安全警示标志等公共安全设备设施损坏、缺失或不能正常使用等情况，应及时报告、记录并及时安排维保人员进行处理。</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2856173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01902EA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2969BA1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864F19E">
        <w:tblPrEx>
          <w:tblCellMar>
            <w:top w:w="0" w:type="dxa"/>
            <w:left w:w="108" w:type="dxa"/>
            <w:bottom w:w="0" w:type="dxa"/>
            <w:right w:w="108" w:type="dxa"/>
          </w:tblCellMar>
        </w:tblPrEx>
        <w:trPr>
          <w:trHeight w:val="702" w:hRule="atLeast"/>
        </w:trPr>
        <w:tc>
          <w:tcPr>
            <w:tcW w:w="268" w:type="pct"/>
            <w:vMerge w:val="restart"/>
            <w:tcBorders>
              <w:top w:val="single" w:color="auto" w:sz="8" w:space="0"/>
              <w:left w:val="single" w:color="auto" w:sz="8" w:space="0"/>
              <w:bottom w:val="single" w:color="auto" w:sz="8" w:space="0"/>
              <w:right w:val="single" w:color="auto" w:sz="8" w:space="0"/>
            </w:tcBorders>
            <w:noWrap w:val="0"/>
            <w:vAlign w:val="center"/>
          </w:tcPr>
          <w:p w14:paraId="402605F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六</w:t>
            </w:r>
          </w:p>
        </w:tc>
        <w:tc>
          <w:tcPr>
            <w:tcW w:w="385" w:type="pct"/>
            <w:vMerge w:val="restart"/>
            <w:tcBorders>
              <w:top w:val="single" w:color="auto" w:sz="8" w:space="0"/>
              <w:left w:val="single" w:color="auto" w:sz="8" w:space="0"/>
              <w:bottom w:val="single" w:color="auto" w:sz="8" w:space="0"/>
              <w:right w:val="single" w:color="auto" w:sz="8" w:space="0"/>
            </w:tcBorders>
            <w:noWrap w:val="0"/>
            <w:vAlign w:val="center"/>
          </w:tcPr>
          <w:p w14:paraId="2DD6EBF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sz w:val="24"/>
                <w:szCs w:val="24"/>
                <w:highlight w:val="none"/>
              </w:rPr>
              <w:t>监控值守</w:t>
            </w: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1870C05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kern w:val="0"/>
                <w:sz w:val="24"/>
                <w:szCs w:val="24"/>
                <w:highlight w:val="yellow"/>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监控设施应24小时正常运行，双人值守并合理安排值守时间，如有故障应及时排除，保证对安全出入口、内部重点区域的安全监控，并保持完整记录，监控资料按规定期限</w:t>
            </w:r>
            <w:r>
              <w:rPr>
                <w:rFonts w:hint="eastAsia" w:asciiTheme="minorEastAsia" w:hAnsiTheme="minorEastAsia" w:eastAsiaTheme="minorEastAsia" w:cstheme="minorEastAsia"/>
                <w:b w:val="0"/>
                <w:bCs w:val="0"/>
                <w:sz w:val="24"/>
                <w:szCs w:val="24"/>
                <w:highlight w:val="none"/>
                <w:lang w:val="en-US" w:eastAsia="zh-CN"/>
              </w:rPr>
              <w:t>不少于90天</w:t>
            </w:r>
            <w:r>
              <w:rPr>
                <w:rFonts w:hint="eastAsia" w:asciiTheme="minorEastAsia" w:hAnsiTheme="minorEastAsia" w:eastAsiaTheme="minorEastAsia" w:cstheme="minorEastAsia"/>
                <w:b w:val="0"/>
                <w:bCs w:val="0"/>
                <w:sz w:val="24"/>
                <w:szCs w:val="24"/>
                <w:highlight w:val="none"/>
              </w:rPr>
              <w:t>保留</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kern w:val="0"/>
                <w:sz w:val="24"/>
                <w:szCs w:val="24"/>
                <w:highlight w:val="none"/>
              </w:rPr>
              <w:t>　</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22330E2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529" w:type="pct"/>
            <w:vMerge w:val="restart"/>
            <w:tcBorders>
              <w:top w:val="single" w:color="auto" w:sz="8" w:space="0"/>
              <w:left w:val="single" w:color="auto" w:sz="8" w:space="0"/>
              <w:bottom w:val="single" w:color="auto" w:sz="8" w:space="0"/>
              <w:right w:val="single" w:color="auto" w:sz="8" w:space="0"/>
            </w:tcBorders>
            <w:noWrap w:val="0"/>
            <w:vAlign w:val="center"/>
          </w:tcPr>
          <w:p w14:paraId="5C48183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320" w:type="pct"/>
            <w:tcBorders>
              <w:top w:val="single" w:color="auto" w:sz="8" w:space="0"/>
              <w:left w:val="single" w:color="auto" w:sz="8" w:space="0"/>
              <w:bottom w:val="single" w:color="auto" w:sz="8" w:space="0"/>
              <w:right w:val="single" w:color="auto" w:sz="8" w:space="0"/>
            </w:tcBorders>
            <w:noWrap w:val="0"/>
            <w:vAlign w:val="center"/>
          </w:tcPr>
          <w:p w14:paraId="5621EB6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r>
      <w:tr w14:paraId="4FE8085E">
        <w:tblPrEx>
          <w:tblCellMar>
            <w:top w:w="0" w:type="dxa"/>
            <w:left w:w="108" w:type="dxa"/>
            <w:bottom w:w="0" w:type="dxa"/>
            <w:right w:w="108" w:type="dxa"/>
          </w:tblCellMar>
        </w:tblPrEx>
        <w:trPr>
          <w:trHeight w:val="702"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6628C53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7C90E16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468E097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在夜晚采取补光等措施，确保视频图像清晰，确保安全出入口和内部重点部位的视频监控无死角、无盲区</w:t>
            </w:r>
            <w:r>
              <w:rPr>
                <w:rFonts w:hint="eastAsia" w:asciiTheme="minorEastAsia" w:hAnsiTheme="minorEastAsia" w:eastAsiaTheme="minorEastAsia" w:cstheme="minorEastAsia"/>
                <w:b w:val="0"/>
                <w:bCs w:val="0"/>
                <w:sz w:val="24"/>
                <w:szCs w:val="24"/>
                <w:highlight w:val="none"/>
                <w:lang w:eastAsia="zh-CN"/>
              </w:rPr>
              <w:t>。</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5B2A080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7D085C0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6E7B21A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2173FD6B">
        <w:tblPrEx>
          <w:tblCellMar>
            <w:top w:w="0" w:type="dxa"/>
            <w:left w:w="108" w:type="dxa"/>
            <w:bottom w:w="0" w:type="dxa"/>
            <w:right w:w="108" w:type="dxa"/>
          </w:tblCellMar>
        </w:tblPrEx>
        <w:trPr>
          <w:trHeight w:val="702"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1F63CC5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25E134E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547C95C7">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监控中心收到险情、火情等报警信号及其他异常情况的信号后，应及时报警并安排其他安保人员携带处置装备及时赶到报警点进行现场处理</w:t>
            </w:r>
            <w:r>
              <w:rPr>
                <w:rFonts w:hint="eastAsia" w:asciiTheme="minorEastAsia" w:hAnsiTheme="minorEastAsia" w:eastAsiaTheme="minorEastAsia" w:cstheme="minorEastAsia"/>
                <w:b w:val="0"/>
                <w:bCs w:val="0"/>
                <w:sz w:val="24"/>
                <w:szCs w:val="24"/>
                <w:highlight w:val="none"/>
                <w:lang w:eastAsia="zh-CN"/>
              </w:rPr>
              <w:t>。</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5F47156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228541A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7C27BE0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199714E">
        <w:tblPrEx>
          <w:tblCellMar>
            <w:top w:w="0" w:type="dxa"/>
            <w:left w:w="108" w:type="dxa"/>
            <w:bottom w:w="0" w:type="dxa"/>
            <w:right w:w="108" w:type="dxa"/>
          </w:tblCellMar>
        </w:tblPrEx>
        <w:trPr>
          <w:trHeight w:val="458"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3101040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278881C4">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25FD480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保持治安电话畅通，接听及时。</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2B0C6B2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15C7FC7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02E9D6B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106E98B">
        <w:tblPrEx>
          <w:tblCellMar>
            <w:top w:w="0" w:type="dxa"/>
            <w:left w:w="108" w:type="dxa"/>
            <w:bottom w:w="0" w:type="dxa"/>
            <w:right w:w="108" w:type="dxa"/>
          </w:tblCellMar>
        </w:tblPrEx>
        <w:trPr>
          <w:trHeight w:val="996" w:hRule="atLeast"/>
        </w:trPr>
        <w:tc>
          <w:tcPr>
            <w:tcW w:w="268" w:type="pct"/>
            <w:vMerge w:val="restart"/>
            <w:tcBorders>
              <w:top w:val="single" w:color="auto" w:sz="8" w:space="0"/>
              <w:left w:val="single" w:color="auto" w:sz="8" w:space="0"/>
              <w:bottom w:val="single" w:color="auto" w:sz="8" w:space="0"/>
              <w:right w:val="single" w:color="auto" w:sz="8" w:space="0"/>
            </w:tcBorders>
            <w:noWrap w:val="0"/>
            <w:vAlign w:val="center"/>
          </w:tcPr>
          <w:p w14:paraId="6120531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七</w:t>
            </w:r>
          </w:p>
        </w:tc>
        <w:tc>
          <w:tcPr>
            <w:tcW w:w="385" w:type="pct"/>
            <w:vMerge w:val="restart"/>
            <w:tcBorders>
              <w:top w:val="single" w:color="auto" w:sz="8" w:space="0"/>
              <w:left w:val="single" w:color="auto" w:sz="8" w:space="0"/>
              <w:bottom w:val="single" w:color="auto" w:sz="8" w:space="0"/>
              <w:right w:val="single" w:color="auto" w:sz="8" w:space="0"/>
            </w:tcBorders>
            <w:noWrap w:val="0"/>
            <w:vAlign w:val="center"/>
          </w:tcPr>
          <w:p w14:paraId="59201A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rPr>
              <w:t>车辆停放</w:t>
            </w: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7D05470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院内设置行车指示、限速等标识和路口反光镜，规定行驶路线，指定停放区域，保证车辆有序通行、便于停放</w:t>
            </w:r>
            <w:r>
              <w:rPr>
                <w:rFonts w:hint="eastAsia" w:asciiTheme="minorEastAsia" w:hAnsiTheme="minorEastAsia" w:eastAsiaTheme="minorEastAsia" w:cstheme="minorEastAsia"/>
                <w:b w:val="0"/>
                <w:bCs w:val="0"/>
                <w:sz w:val="24"/>
                <w:szCs w:val="24"/>
                <w:highlight w:val="none"/>
                <w:lang w:eastAsia="zh-CN"/>
              </w:rPr>
              <w:t>。</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69AE0B8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529" w:type="pct"/>
            <w:vMerge w:val="restart"/>
            <w:tcBorders>
              <w:top w:val="single" w:color="auto" w:sz="8" w:space="0"/>
              <w:left w:val="single" w:color="auto" w:sz="8" w:space="0"/>
              <w:bottom w:val="single" w:color="auto" w:sz="8" w:space="0"/>
              <w:right w:val="single" w:color="auto" w:sz="8" w:space="0"/>
            </w:tcBorders>
            <w:noWrap w:val="0"/>
            <w:vAlign w:val="center"/>
          </w:tcPr>
          <w:p w14:paraId="3138CAA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320" w:type="pct"/>
            <w:tcBorders>
              <w:top w:val="single" w:color="auto" w:sz="8" w:space="0"/>
              <w:left w:val="single" w:color="auto" w:sz="8" w:space="0"/>
              <w:bottom w:val="single" w:color="auto" w:sz="8" w:space="0"/>
              <w:right w:val="single" w:color="auto" w:sz="8" w:space="0"/>
            </w:tcBorders>
            <w:noWrap w:val="0"/>
            <w:vAlign w:val="center"/>
          </w:tcPr>
          <w:p w14:paraId="21C25BE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sz w:val="24"/>
                <w:szCs w:val="24"/>
                <w:lang w:val="en-US" w:eastAsia="zh-CN"/>
              </w:rPr>
            </w:pPr>
          </w:p>
        </w:tc>
      </w:tr>
      <w:tr w14:paraId="7C0DA6AA">
        <w:tblPrEx>
          <w:tblCellMar>
            <w:top w:w="0" w:type="dxa"/>
            <w:left w:w="108" w:type="dxa"/>
            <w:bottom w:w="0" w:type="dxa"/>
            <w:right w:w="108" w:type="dxa"/>
          </w:tblCellMar>
        </w:tblPrEx>
        <w:trPr>
          <w:trHeight w:val="996"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65AB3525">
            <w:pPr>
              <w:keepNext w:val="0"/>
              <w:keepLines w:val="0"/>
              <w:pageBreakBefore w:val="0"/>
              <w:widowControl w:val="0"/>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sz w:val="24"/>
                <w:szCs w:val="24"/>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34FCA854">
            <w:pPr>
              <w:keepNext w:val="0"/>
              <w:keepLines w:val="0"/>
              <w:pageBreakBefore w:val="0"/>
              <w:widowControl w:val="0"/>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sz w:val="24"/>
                <w:szCs w:val="24"/>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3DD01E2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车库专人管理，定时清洁，无易燃易爆等危险品存放，监控、照明、抽水、消防器械配置齐全、正常运行</w:t>
            </w:r>
            <w:r>
              <w:rPr>
                <w:rFonts w:hint="eastAsia" w:asciiTheme="minorEastAsia" w:hAnsiTheme="minorEastAsia" w:eastAsiaTheme="minorEastAsia" w:cstheme="minorEastAsia"/>
                <w:b w:val="0"/>
                <w:bCs w:val="0"/>
                <w:sz w:val="24"/>
                <w:szCs w:val="24"/>
                <w:highlight w:val="none"/>
                <w:lang w:eastAsia="zh-CN"/>
              </w:rPr>
              <w:t>。</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1D27A46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4B0E59B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2488960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6985C77A">
        <w:tblPrEx>
          <w:tblCellMar>
            <w:top w:w="0" w:type="dxa"/>
            <w:left w:w="108" w:type="dxa"/>
            <w:bottom w:w="0" w:type="dxa"/>
            <w:right w:w="108" w:type="dxa"/>
          </w:tblCellMar>
        </w:tblPrEx>
        <w:trPr>
          <w:trHeight w:val="1077"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47CEEE9B">
            <w:pPr>
              <w:keepNext w:val="0"/>
              <w:keepLines w:val="0"/>
              <w:pageBreakBefore w:val="0"/>
              <w:widowControl w:val="0"/>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2D4BC7FF">
            <w:pPr>
              <w:keepNext w:val="0"/>
              <w:keepLines w:val="0"/>
              <w:pageBreakBefore w:val="0"/>
              <w:widowControl w:val="0"/>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33EA691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非机动车定点有序停放。</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6F9ED57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04EF897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116A6DA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A6D310D">
        <w:tblPrEx>
          <w:tblCellMar>
            <w:top w:w="0" w:type="dxa"/>
            <w:left w:w="108" w:type="dxa"/>
            <w:bottom w:w="0" w:type="dxa"/>
            <w:right w:w="108" w:type="dxa"/>
          </w:tblCellMar>
        </w:tblPrEx>
        <w:trPr>
          <w:trHeight w:val="90" w:hRule="atLeast"/>
        </w:trPr>
        <w:tc>
          <w:tcPr>
            <w:tcW w:w="268" w:type="pct"/>
            <w:vMerge w:val="restart"/>
            <w:tcBorders>
              <w:top w:val="single" w:color="auto" w:sz="8" w:space="0"/>
              <w:left w:val="single" w:color="auto" w:sz="8" w:space="0"/>
              <w:bottom w:val="single" w:color="auto" w:sz="8" w:space="0"/>
              <w:right w:val="single" w:color="auto" w:sz="8" w:space="0"/>
            </w:tcBorders>
            <w:noWrap w:val="0"/>
            <w:vAlign w:val="center"/>
          </w:tcPr>
          <w:p w14:paraId="08E5773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八</w:t>
            </w:r>
          </w:p>
        </w:tc>
        <w:tc>
          <w:tcPr>
            <w:tcW w:w="385" w:type="pct"/>
            <w:vMerge w:val="restart"/>
            <w:tcBorders>
              <w:top w:val="single" w:color="auto" w:sz="8" w:space="0"/>
              <w:left w:val="single" w:color="auto" w:sz="8" w:space="0"/>
              <w:bottom w:val="single" w:color="auto" w:sz="8" w:space="0"/>
              <w:right w:val="single" w:color="auto" w:sz="8" w:space="0"/>
            </w:tcBorders>
            <w:noWrap w:val="0"/>
            <w:vAlign w:val="center"/>
          </w:tcPr>
          <w:p w14:paraId="549D234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 w:val="0"/>
                <w:bCs w:val="0"/>
                <w:sz w:val="24"/>
                <w:szCs w:val="24"/>
                <w:highlight w:val="none"/>
              </w:rPr>
              <w:t>消防管理</w:t>
            </w: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098841E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eastAsiaTheme="minorEastAsia" w:cstheme="minorEastAsia"/>
                <w:b w:val="0"/>
                <w:bCs w:val="0"/>
                <w:sz w:val="24"/>
                <w:szCs w:val="24"/>
                <w:highlight w:val="none"/>
              </w:rPr>
              <w:t>建立消防安全责任制</w:t>
            </w:r>
            <w:r>
              <w:rPr>
                <w:rFonts w:hint="eastAsia" w:asciiTheme="minorEastAsia" w:hAnsiTheme="minorEastAsia" w:eastAsiaTheme="minorEastAsia" w:cstheme="minorEastAsia"/>
                <w:b w:val="0"/>
                <w:bCs w:val="0"/>
                <w:sz w:val="24"/>
                <w:szCs w:val="24"/>
                <w:highlight w:val="none"/>
                <w:lang w:eastAsia="zh-CN"/>
              </w:rPr>
              <w:t>。</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49DE94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529" w:type="pct"/>
            <w:vMerge w:val="restart"/>
            <w:tcBorders>
              <w:top w:val="single" w:color="auto" w:sz="8" w:space="0"/>
              <w:left w:val="single" w:color="auto" w:sz="8" w:space="0"/>
              <w:bottom w:val="single" w:color="auto" w:sz="8" w:space="0"/>
              <w:right w:val="single" w:color="auto" w:sz="8" w:space="0"/>
            </w:tcBorders>
            <w:noWrap w:val="0"/>
            <w:vAlign w:val="center"/>
          </w:tcPr>
          <w:p w14:paraId="68881AA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320" w:type="pct"/>
            <w:tcBorders>
              <w:top w:val="single" w:color="auto" w:sz="8" w:space="0"/>
              <w:left w:val="single" w:color="auto" w:sz="8" w:space="0"/>
              <w:bottom w:val="single" w:color="auto" w:sz="8" w:space="0"/>
              <w:right w:val="single" w:color="auto" w:sz="8" w:space="0"/>
            </w:tcBorders>
            <w:noWrap w:val="0"/>
            <w:vAlign w:val="center"/>
          </w:tcPr>
          <w:p w14:paraId="4372D84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lang w:val="en-US" w:eastAsia="zh-CN"/>
              </w:rPr>
            </w:pPr>
          </w:p>
        </w:tc>
      </w:tr>
      <w:tr w14:paraId="12CD21C9">
        <w:tblPrEx>
          <w:tblCellMar>
            <w:top w:w="0" w:type="dxa"/>
            <w:left w:w="108" w:type="dxa"/>
            <w:bottom w:w="0" w:type="dxa"/>
            <w:right w:w="108" w:type="dxa"/>
          </w:tblCellMar>
        </w:tblPrEx>
        <w:trPr>
          <w:trHeight w:val="356"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6B8F88D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0256C48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z w:val="24"/>
                <w:szCs w:val="24"/>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700329E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保持所有消防通道畅通，在明显位置设置疏散示意图</w:t>
            </w:r>
            <w:r>
              <w:rPr>
                <w:rFonts w:hint="eastAsia" w:asciiTheme="minorEastAsia" w:hAnsiTheme="minorEastAsia" w:eastAsiaTheme="minorEastAsia" w:cstheme="minorEastAsia"/>
                <w:b w:val="0"/>
                <w:bCs w:val="0"/>
                <w:sz w:val="24"/>
                <w:szCs w:val="24"/>
                <w:highlight w:val="none"/>
                <w:lang w:eastAsia="zh-CN"/>
              </w:rPr>
              <w:t>。</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476B11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40EBCBC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2E30D4C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5A0E862">
        <w:tblPrEx>
          <w:tblCellMar>
            <w:top w:w="0" w:type="dxa"/>
            <w:left w:w="108" w:type="dxa"/>
            <w:bottom w:w="0" w:type="dxa"/>
            <w:right w:w="108" w:type="dxa"/>
          </w:tblCellMar>
        </w:tblPrEx>
        <w:trPr>
          <w:trHeight w:val="356"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157E9C5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52FCF06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17B9B64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消防设施有明显标志，定期巡检和维护消防设备设施，保持完好、完整和正常使用，并保留文字记录，按时上报</w:t>
            </w:r>
            <w:r>
              <w:rPr>
                <w:rFonts w:hint="eastAsia" w:asciiTheme="minorEastAsia" w:hAnsiTheme="minorEastAsia" w:eastAsiaTheme="minorEastAsia" w:cstheme="minorEastAsia"/>
                <w:b w:val="0"/>
                <w:bCs w:val="0"/>
                <w:sz w:val="24"/>
                <w:szCs w:val="24"/>
                <w:highlight w:val="none"/>
                <w:lang w:eastAsia="zh-CN"/>
              </w:rPr>
              <w:t>。</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24F6D9A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0BBD769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712CF0A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7C15DF97">
        <w:tblPrEx>
          <w:tblCellMar>
            <w:top w:w="0" w:type="dxa"/>
            <w:left w:w="108" w:type="dxa"/>
            <w:bottom w:w="0" w:type="dxa"/>
            <w:right w:w="108" w:type="dxa"/>
          </w:tblCellMar>
        </w:tblPrEx>
        <w:trPr>
          <w:trHeight w:val="356"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7D50090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29AF642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14F54C0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w:t>
            </w:r>
            <w:r>
              <w:rPr>
                <w:rFonts w:hint="eastAsia" w:asciiTheme="minorEastAsia" w:hAnsiTheme="minorEastAsia" w:eastAsiaTheme="minorEastAsia" w:cstheme="minorEastAsia"/>
                <w:b w:val="0"/>
                <w:bCs w:val="0"/>
                <w:sz w:val="24"/>
                <w:szCs w:val="24"/>
                <w:highlight w:val="none"/>
              </w:rPr>
              <w:t>对易燃易爆品设专区专人管理</w:t>
            </w:r>
            <w:r>
              <w:rPr>
                <w:rFonts w:hint="eastAsia" w:asciiTheme="minorEastAsia" w:hAnsiTheme="minorEastAsia" w:eastAsiaTheme="minorEastAsia" w:cstheme="minorEastAsia"/>
                <w:b w:val="0"/>
                <w:bCs w:val="0"/>
                <w:sz w:val="24"/>
                <w:szCs w:val="24"/>
                <w:highlight w:val="none"/>
                <w:lang w:eastAsia="zh-CN"/>
              </w:rPr>
              <w:t>。</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6B0B23C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7A1AF48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7864711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789F8E61">
        <w:tblPrEx>
          <w:tblCellMar>
            <w:top w:w="0" w:type="dxa"/>
            <w:left w:w="108" w:type="dxa"/>
            <w:bottom w:w="0" w:type="dxa"/>
            <w:right w:w="108" w:type="dxa"/>
          </w:tblCellMar>
        </w:tblPrEx>
        <w:trPr>
          <w:trHeight w:val="356"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4A6DBE0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7A23F84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61717B9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w:t>
            </w:r>
            <w:r>
              <w:rPr>
                <w:rFonts w:hint="eastAsia" w:asciiTheme="minorEastAsia" w:hAnsiTheme="minorEastAsia" w:eastAsiaTheme="minorEastAsia" w:cstheme="minorEastAsia"/>
                <w:b w:val="0"/>
                <w:bCs w:val="0"/>
                <w:sz w:val="24"/>
                <w:szCs w:val="24"/>
                <w:highlight w:val="none"/>
              </w:rPr>
              <w:t>每年至少组织1次消防演练或培训</w:t>
            </w:r>
            <w:r>
              <w:rPr>
                <w:rFonts w:hint="eastAsia" w:asciiTheme="minorEastAsia" w:hAnsiTheme="minorEastAsia" w:eastAsiaTheme="minorEastAsia" w:cstheme="minorEastAsia"/>
                <w:b w:val="0"/>
                <w:bCs w:val="0"/>
                <w:sz w:val="24"/>
                <w:szCs w:val="24"/>
                <w:highlight w:val="none"/>
                <w:lang w:eastAsia="zh-CN"/>
              </w:rPr>
              <w:t>。</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443B3C6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260163A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7114CC7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52378116">
        <w:tblPrEx>
          <w:tblCellMar>
            <w:top w:w="0" w:type="dxa"/>
            <w:left w:w="108" w:type="dxa"/>
            <w:bottom w:w="0" w:type="dxa"/>
            <w:right w:w="108" w:type="dxa"/>
          </w:tblCellMar>
        </w:tblPrEx>
        <w:trPr>
          <w:trHeight w:val="356"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23DBD9B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7FD0D92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7A1101A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w:t>
            </w:r>
            <w:r>
              <w:rPr>
                <w:rFonts w:hint="eastAsia" w:asciiTheme="minorEastAsia" w:hAnsiTheme="minorEastAsia" w:eastAsiaTheme="minorEastAsia" w:cstheme="minorEastAsia"/>
                <w:b w:val="0"/>
                <w:bCs w:val="0"/>
                <w:sz w:val="24"/>
                <w:szCs w:val="24"/>
                <w:highlight w:val="none"/>
              </w:rPr>
              <w:t>消防设备维保质量应达到消防要求，并保证系统开通率及完好率</w:t>
            </w:r>
            <w:r>
              <w:rPr>
                <w:rFonts w:hint="eastAsia" w:asciiTheme="minorEastAsia" w:hAnsiTheme="minorEastAsia" w:eastAsiaTheme="minorEastAsia" w:cstheme="minorEastAsia"/>
                <w:b w:val="0"/>
                <w:bCs w:val="0"/>
                <w:sz w:val="24"/>
                <w:szCs w:val="24"/>
                <w:highlight w:val="none"/>
                <w:lang w:eastAsia="zh-CN"/>
              </w:rPr>
              <w:t>。</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4B9DB05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3F3B061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6AC4D5F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28B3DFE4">
        <w:tblPrEx>
          <w:tblCellMar>
            <w:top w:w="0" w:type="dxa"/>
            <w:left w:w="108" w:type="dxa"/>
            <w:bottom w:w="0" w:type="dxa"/>
            <w:right w:w="108" w:type="dxa"/>
          </w:tblCellMar>
        </w:tblPrEx>
        <w:trPr>
          <w:trHeight w:val="356" w:hRule="atLeast"/>
        </w:trPr>
        <w:tc>
          <w:tcPr>
            <w:tcW w:w="268" w:type="pct"/>
            <w:vMerge w:val="continue"/>
            <w:tcBorders>
              <w:top w:val="single" w:color="auto" w:sz="8" w:space="0"/>
              <w:left w:val="single" w:color="auto" w:sz="8" w:space="0"/>
              <w:bottom w:val="single" w:color="auto" w:sz="8" w:space="0"/>
              <w:right w:val="single" w:color="auto" w:sz="8" w:space="0"/>
            </w:tcBorders>
            <w:noWrap w:val="0"/>
            <w:vAlign w:val="center"/>
          </w:tcPr>
          <w:p w14:paraId="0BB7ED8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85" w:type="pct"/>
            <w:vMerge w:val="continue"/>
            <w:tcBorders>
              <w:top w:val="single" w:color="auto" w:sz="8" w:space="0"/>
              <w:left w:val="single" w:color="auto" w:sz="8" w:space="0"/>
              <w:bottom w:val="single" w:color="auto" w:sz="8" w:space="0"/>
              <w:right w:val="single" w:color="auto" w:sz="8" w:space="0"/>
            </w:tcBorders>
            <w:noWrap w:val="0"/>
            <w:vAlign w:val="center"/>
          </w:tcPr>
          <w:p w14:paraId="4C0E1B0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167" w:type="pct"/>
            <w:gridSpan w:val="2"/>
            <w:tcBorders>
              <w:top w:val="single" w:color="auto" w:sz="8" w:space="0"/>
              <w:left w:val="single" w:color="auto" w:sz="8" w:space="0"/>
              <w:bottom w:val="single" w:color="auto" w:sz="8" w:space="0"/>
              <w:right w:val="single" w:color="auto" w:sz="8" w:space="0"/>
            </w:tcBorders>
            <w:noWrap w:val="0"/>
            <w:vAlign w:val="center"/>
          </w:tcPr>
          <w:p w14:paraId="5D7E774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w:t>
            </w:r>
            <w:r>
              <w:rPr>
                <w:rFonts w:hint="eastAsia" w:asciiTheme="minorEastAsia" w:hAnsiTheme="minorEastAsia" w:eastAsiaTheme="minorEastAsia" w:cstheme="minorEastAsia"/>
                <w:b w:val="0"/>
                <w:bCs w:val="0"/>
                <w:sz w:val="24"/>
                <w:szCs w:val="24"/>
                <w:highlight w:val="none"/>
              </w:rPr>
              <w:t>应定期检查消防设备，重大节假日前巡检1次，零修合格率应达到100%。</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1E5945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p>
        </w:tc>
        <w:tc>
          <w:tcPr>
            <w:tcW w:w="529" w:type="pct"/>
            <w:vMerge w:val="continue"/>
            <w:tcBorders>
              <w:top w:val="single" w:color="auto" w:sz="8" w:space="0"/>
              <w:left w:val="single" w:color="auto" w:sz="8" w:space="0"/>
              <w:bottom w:val="single" w:color="auto" w:sz="8" w:space="0"/>
              <w:right w:val="single" w:color="auto" w:sz="8" w:space="0"/>
            </w:tcBorders>
            <w:noWrap w:val="0"/>
            <w:vAlign w:val="center"/>
          </w:tcPr>
          <w:p w14:paraId="29995A7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c>
          <w:tcPr>
            <w:tcW w:w="320" w:type="pct"/>
            <w:tcBorders>
              <w:top w:val="single" w:color="auto" w:sz="8" w:space="0"/>
              <w:left w:val="single" w:color="auto" w:sz="8" w:space="0"/>
              <w:bottom w:val="single" w:color="auto" w:sz="8" w:space="0"/>
              <w:right w:val="single" w:color="auto" w:sz="8" w:space="0"/>
            </w:tcBorders>
            <w:noWrap w:val="0"/>
            <w:vAlign w:val="center"/>
          </w:tcPr>
          <w:p w14:paraId="6075E5D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val="0"/>
                <w:bCs w:val="0"/>
                <w:sz w:val="24"/>
                <w:szCs w:val="24"/>
                <w:highlight w:val="none"/>
                <w:lang w:val="en-US" w:eastAsia="zh-CN"/>
              </w:rPr>
            </w:pPr>
          </w:p>
        </w:tc>
      </w:tr>
      <w:tr w14:paraId="086CE960">
        <w:tblPrEx>
          <w:tblCellMar>
            <w:top w:w="0" w:type="dxa"/>
            <w:left w:w="108" w:type="dxa"/>
            <w:bottom w:w="0" w:type="dxa"/>
            <w:right w:w="108" w:type="dxa"/>
          </w:tblCellMar>
        </w:tblPrEx>
        <w:trPr>
          <w:trHeight w:val="90" w:hRule="atLeast"/>
        </w:trPr>
        <w:tc>
          <w:tcPr>
            <w:tcW w:w="3822" w:type="pct"/>
            <w:gridSpan w:val="4"/>
            <w:tcBorders>
              <w:top w:val="single" w:color="auto" w:sz="8" w:space="0"/>
              <w:left w:val="single" w:color="auto" w:sz="8" w:space="0"/>
              <w:bottom w:val="single" w:color="auto" w:sz="8" w:space="0"/>
              <w:right w:val="single" w:color="auto" w:sz="8" w:space="0"/>
            </w:tcBorders>
            <w:noWrap w:val="0"/>
            <w:vAlign w:val="center"/>
          </w:tcPr>
          <w:p w14:paraId="10AEA6D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合计</w:t>
            </w:r>
          </w:p>
        </w:tc>
        <w:tc>
          <w:tcPr>
            <w:tcW w:w="327" w:type="pct"/>
            <w:tcBorders>
              <w:top w:val="single" w:color="auto" w:sz="8" w:space="0"/>
              <w:left w:val="single" w:color="auto" w:sz="8" w:space="0"/>
              <w:bottom w:val="single" w:color="auto" w:sz="8" w:space="0"/>
              <w:right w:val="single" w:color="auto" w:sz="8" w:space="0"/>
            </w:tcBorders>
            <w:noWrap w:val="0"/>
            <w:vAlign w:val="center"/>
          </w:tcPr>
          <w:p w14:paraId="7D4275C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100</w:t>
            </w:r>
          </w:p>
        </w:tc>
        <w:tc>
          <w:tcPr>
            <w:tcW w:w="849" w:type="pct"/>
            <w:gridSpan w:val="2"/>
            <w:tcBorders>
              <w:top w:val="single" w:color="auto" w:sz="8" w:space="0"/>
              <w:left w:val="single" w:color="auto" w:sz="8" w:space="0"/>
              <w:bottom w:val="single" w:color="auto" w:sz="8" w:space="0"/>
              <w:right w:val="single" w:color="auto" w:sz="8" w:space="0"/>
            </w:tcBorders>
            <w:noWrap w:val="0"/>
            <w:vAlign w:val="center"/>
          </w:tcPr>
          <w:p w14:paraId="4B5A61A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扣分：</w:t>
            </w:r>
          </w:p>
        </w:tc>
      </w:tr>
      <w:tr w14:paraId="075706C8">
        <w:tblPrEx>
          <w:tblCellMar>
            <w:top w:w="0" w:type="dxa"/>
            <w:left w:w="108" w:type="dxa"/>
            <w:bottom w:w="0" w:type="dxa"/>
            <w:right w:w="108" w:type="dxa"/>
          </w:tblCellMar>
        </w:tblPrEx>
        <w:trPr>
          <w:trHeight w:val="1248" w:hRule="atLeast"/>
        </w:trPr>
        <w:tc>
          <w:tcPr>
            <w:tcW w:w="5000" w:type="pct"/>
            <w:gridSpan w:val="7"/>
            <w:tcBorders>
              <w:top w:val="single" w:color="auto" w:sz="8" w:space="0"/>
              <w:left w:val="single" w:color="auto" w:sz="8" w:space="0"/>
              <w:bottom w:val="single" w:color="auto" w:sz="8" w:space="0"/>
              <w:right w:val="single" w:color="auto" w:sz="8" w:space="0"/>
            </w:tcBorders>
            <w:noWrap w:val="0"/>
            <w:vAlign w:val="top"/>
          </w:tcPr>
          <w:p w14:paraId="4688745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确保现场工作人员严格遵守</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的相关纪律和制度，严禁无故脱岗，对日常服务等进行满意度测评打分，并建立台账。每</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rPr>
              <w:t>为一个考核周期，</w:t>
            </w:r>
            <w:r>
              <w:rPr>
                <w:rFonts w:hint="eastAsia" w:asciiTheme="minorEastAsia" w:hAnsiTheme="minorEastAsia" w:eastAsiaTheme="minorEastAsia" w:cstheme="minorEastAsia"/>
                <w:b w:val="0"/>
                <w:bCs w:val="0"/>
                <w:sz w:val="24"/>
                <w:szCs w:val="24"/>
                <w:highlight w:val="none"/>
                <w:lang w:val="en-US" w:eastAsia="zh-CN"/>
              </w:rPr>
              <w:t>按月</w:t>
            </w:r>
            <w:r>
              <w:rPr>
                <w:rFonts w:hint="eastAsia" w:asciiTheme="minorEastAsia" w:hAnsiTheme="minorEastAsia" w:eastAsiaTheme="minorEastAsia" w:cstheme="minorEastAsia"/>
                <w:b w:val="0"/>
                <w:bCs w:val="0"/>
                <w:sz w:val="24"/>
                <w:szCs w:val="24"/>
                <w:highlight w:val="none"/>
              </w:rPr>
              <w:t>结算</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按年支付</w:t>
            </w:r>
            <w:r>
              <w:rPr>
                <w:rFonts w:hint="eastAsia" w:asciiTheme="minorEastAsia" w:hAnsiTheme="minorEastAsia" w:eastAsiaTheme="minorEastAsia" w:cstheme="minorEastAsia"/>
                <w:b w:val="0"/>
                <w:bCs w:val="0"/>
                <w:sz w:val="24"/>
                <w:szCs w:val="24"/>
                <w:highlight w:val="none"/>
              </w:rPr>
              <w:t>。考核得分在90-100分为优，全额支付</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服务费；考核得分在80-89分为良好，扣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应付服务费的5%；考核得分在70-80分为一般，扣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应付服务费的10%；考核得分在70分以下为差，</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将要求</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对相关工作进行限期整改，整改后经随机抽查达到良好情形的，扣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应付服务费的15%；经过限期整改仍达不到良好情形的或拒不整改的，</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有权终止合同，</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相关损失由</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承担。</w:t>
            </w:r>
          </w:p>
        </w:tc>
      </w:tr>
      <w:tr w14:paraId="540B0D5D">
        <w:tblPrEx>
          <w:tblCellMar>
            <w:top w:w="0" w:type="dxa"/>
            <w:left w:w="108" w:type="dxa"/>
            <w:bottom w:w="0" w:type="dxa"/>
            <w:right w:w="108" w:type="dxa"/>
          </w:tblCellMar>
        </w:tblPrEx>
        <w:trPr>
          <w:trHeight w:val="3311" w:hRule="atLeast"/>
        </w:trPr>
        <w:tc>
          <w:tcPr>
            <w:tcW w:w="1666" w:type="pct"/>
            <w:gridSpan w:val="3"/>
            <w:tcBorders>
              <w:top w:val="single" w:color="auto" w:sz="8" w:space="0"/>
              <w:left w:val="single" w:color="auto" w:sz="8" w:space="0"/>
              <w:bottom w:val="single" w:color="auto" w:sz="4" w:space="0"/>
              <w:right w:val="single" w:color="auto" w:sz="8" w:space="0"/>
            </w:tcBorders>
            <w:noWrap w:val="0"/>
            <w:vAlign w:val="top"/>
          </w:tcPr>
          <w:p w14:paraId="7FDF23F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检查人：</w:t>
            </w:r>
          </w:p>
        </w:tc>
        <w:tc>
          <w:tcPr>
            <w:tcW w:w="3333" w:type="pct"/>
            <w:gridSpan w:val="4"/>
            <w:tcBorders>
              <w:top w:val="single" w:color="auto" w:sz="8" w:space="0"/>
              <w:left w:val="single" w:color="auto" w:sz="8" w:space="0"/>
              <w:bottom w:val="single" w:color="auto" w:sz="4" w:space="0"/>
              <w:right w:val="single" w:color="auto" w:sz="8" w:space="0"/>
            </w:tcBorders>
            <w:noWrap w:val="0"/>
            <w:vAlign w:val="top"/>
          </w:tcPr>
          <w:p w14:paraId="0E08419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被考核单位确认签字盖章：</w:t>
            </w:r>
          </w:p>
        </w:tc>
      </w:tr>
    </w:tbl>
    <w:p w14:paraId="5865F9D5">
      <w:pPr>
        <w:keepNext w:val="0"/>
        <w:keepLines w:val="0"/>
        <w:pageBreakBefore w:val="0"/>
        <w:kinsoku/>
        <w:wordWrap/>
        <w:overflowPunct/>
        <w:topLinePunct w:val="0"/>
        <w:bidi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rPr>
      </w:pPr>
    </w:p>
    <w:p w14:paraId="506D544C">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p>
    <w:p w14:paraId="2F3FB468">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br w:type="page"/>
      </w:r>
    </w:p>
    <w:p w14:paraId="28375FE3">
      <w:pPr>
        <w:pStyle w:val="2"/>
        <w:pageBreakBefore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eastAsia="宋体"/>
          <w:b w:val="0"/>
          <w:bCs w:val="0"/>
          <w:color w:val="000000"/>
        </w:rPr>
      </w:pPr>
      <w:r>
        <w:rPr>
          <w:rFonts w:hint="eastAsia" w:ascii="Arial" w:hAnsi="Arial" w:eastAsia="宋体" w:cs="Times New Roman"/>
          <w:b w:val="0"/>
          <w:bCs w:val="0"/>
          <w:color w:val="000000"/>
          <w:kern w:val="44"/>
          <w:sz w:val="36"/>
          <w:szCs w:val="44"/>
          <w:lang w:val="en-US" w:eastAsia="zh-CN" w:bidi="ar-SA"/>
        </w:rPr>
        <w:t>第五部分</w:t>
      </w:r>
      <w:r>
        <w:rPr>
          <w:rFonts w:hint="eastAsia" w:cs="Times New Roman"/>
          <w:b w:val="0"/>
          <w:bCs w:val="0"/>
          <w:color w:val="000000"/>
          <w:kern w:val="44"/>
          <w:sz w:val="36"/>
          <w:szCs w:val="44"/>
          <w:lang w:val="en-US" w:eastAsia="zh-CN" w:bidi="ar-SA"/>
        </w:rPr>
        <w:t xml:space="preserve">  </w:t>
      </w:r>
      <w:r>
        <w:rPr>
          <w:rFonts w:hint="eastAsia" w:eastAsia="宋体"/>
          <w:b w:val="0"/>
          <w:bCs w:val="0"/>
          <w:color w:val="000000"/>
        </w:rPr>
        <w:t>询比采购投标文件格式</w:t>
      </w:r>
      <w:bookmarkEnd w:id="37"/>
    </w:p>
    <w:p w14:paraId="3473734C">
      <w:pPr>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rPr>
      </w:pPr>
    </w:p>
    <w:p w14:paraId="744131C4">
      <w:pPr>
        <w:pStyle w:val="3"/>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bookmarkStart w:id="38" w:name="_Toc11197"/>
      <w:r>
        <w:rPr>
          <w:rFonts w:hint="eastAsia"/>
          <w:color w:val="000000"/>
        </w:rPr>
        <w:t>询比采购投标文件密封袋封面格式</w:t>
      </w:r>
      <w:bookmarkEnd w:id="38"/>
    </w:p>
    <w:p w14:paraId="29B8F48D">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r>
        <w:rPr>
          <w:rFonts w:hint="eastAsia" w:ascii="宋体" w:hAnsi="宋体"/>
          <w:color w:val="000000"/>
          <w:sz w:val="24"/>
        </w:rPr>
        <w:t>文件编号：</w:t>
      </w:r>
    </w:p>
    <w:p w14:paraId="66FE5CA5">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122257E6">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1F650C8A">
      <w:pPr>
        <w:pageBreakBefore w:val="0"/>
        <w:kinsoku/>
        <w:wordWrap/>
        <w:overflowPunct/>
        <w:topLinePunct w:val="0"/>
        <w:autoSpaceDE/>
        <w:autoSpaceDN/>
        <w:bidi w:val="0"/>
        <w:adjustRightInd/>
        <w:snapToGrid/>
        <w:spacing w:line="560" w:lineRule="exact"/>
        <w:textAlignment w:val="auto"/>
        <w:rPr>
          <w:rFonts w:ascii="黑体" w:eastAsia="黑体"/>
          <w:iCs/>
          <w:color w:val="000000"/>
          <w:sz w:val="44"/>
          <w:szCs w:val="44"/>
        </w:rPr>
      </w:pPr>
    </w:p>
    <w:p w14:paraId="297ECAF2">
      <w:pPr>
        <w:pageBreakBefore w:val="0"/>
        <w:kinsoku/>
        <w:wordWrap/>
        <w:overflowPunct/>
        <w:topLinePunct w:val="0"/>
        <w:autoSpaceDE/>
        <w:autoSpaceDN/>
        <w:bidi w:val="0"/>
        <w:adjustRightInd/>
        <w:snapToGrid/>
        <w:spacing w:line="560" w:lineRule="exact"/>
        <w:ind w:right="-163"/>
        <w:jc w:val="center"/>
        <w:textAlignment w:val="auto"/>
        <w:rPr>
          <w:rFonts w:hint="eastAsia" w:ascii="黑体" w:eastAsia="黑体"/>
          <w:b/>
          <w:bCs/>
          <w:iCs/>
          <w:color w:val="000000"/>
          <w:sz w:val="56"/>
          <w:szCs w:val="56"/>
          <w:lang w:val="en-US" w:eastAsia="zh-CN"/>
        </w:rPr>
      </w:pPr>
      <w:r>
        <w:rPr>
          <w:rFonts w:hint="eastAsia" w:ascii="黑体" w:eastAsia="黑体"/>
          <w:b/>
          <w:bCs/>
          <w:iCs/>
          <w:color w:val="000000"/>
          <w:sz w:val="56"/>
          <w:szCs w:val="56"/>
          <w:lang w:val="en-US" w:eastAsia="zh-CN"/>
        </w:rPr>
        <w:t>张家口霖辉物业管理集团有限公司</w:t>
      </w:r>
    </w:p>
    <w:p w14:paraId="4AB78147">
      <w:pPr>
        <w:pageBreakBefore w:val="0"/>
        <w:kinsoku/>
        <w:wordWrap/>
        <w:overflowPunct/>
        <w:topLinePunct w:val="0"/>
        <w:autoSpaceDE/>
        <w:autoSpaceDN/>
        <w:bidi w:val="0"/>
        <w:adjustRightInd/>
        <w:snapToGrid/>
        <w:spacing w:line="560" w:lineRule="exact"/>
        <w:ind w:right="-163"/>
        <w:jc w:val="center"/>
        <w:textAlignment w:val="auto"/>
        <w:rPr>
          <w:rFonts w:hint="default" w:ascii="楷体" w:hAnsi="楷体" w:eastAsia="楷体" w:cs="楷体_GB2312"/>
          <w:b/>
          <w:w w:val="90"/>
          <w:kern w:val="52"/>
          <w:sz w:val="56"/>
          <w:szCs w:val="56"/>
          <w:lang w:val="en-US" w:eastAsia="zh-CN"/>
        </w:rPr>
      </w:pPr>
      <w:r>
        <w:rPr>
          <w:rFonts w:hint="eastAsia" w:ascii="黑体" w:hAnsi="黑体" w:eastAsia="黑体" w:cs="黑体"/>
          <w:b/>
          <w:w w:val="90"/>
          <w:kern w:val="52"/>
          <w:sz w:val="56"/>
          <w:szCs w:val="56"/>
          <w:lang w:val="en-US" w:eastAsia="zh-CN"/>
        </w:rPr>
        <w:t>张家口“四馆”安全保卫服务项目</w:t>
      </w:r>
    </w:p>
    <w:p w14:paraId="0C444EB2">
      <w:pPr>
        <w:pageBreakBefore w:val="0"/>
        <w:kinsoku/>
        <w:wordWrap/>
        <w:overflowPunct/>
        <w:topLinePunct w:val="0"/>
        <w:autoSpaceDE/>
        <w:autoSpaceDN/>
        <w:bidi w:val="0"/>
        <w:adjustRightInd/>
        <w:snapToGrid/>
        <w:spacing w:line="560" w:lineRule="exact"/>
        <w:jc w:val="center"/>
        <w:textAlignment w:val="auto"/>
        <w:rPr>
          <w:rFonts w:hint="eastAsia" w:ascii="黑体" w:eastAsia="黑体"/>
          <w:color w:val="000000"/>
          <w:sz w:val="30"/>
          <w:szCs w:val="30"/>
        </w:rPr>
      </w:pPr>
    </w:p>
    <w:p w14:paraId="614A8586">
      <w:pPr>
        <w:pageBreakBefore w:val="0"/>
        <w:kinsoku/>
        <w:wordWrap/>
        <w:overflowPunct/>
        <w:topLinePunct w:val="0"/>
        <w:autoSpaceDE/>
        <w:autoSpaceDN/>
        <w:bidi w:val="0"/>
        <w:adjustRightInd/>
        <w:snapToGrid/>
        <w:spacing w:line="560" w:lineRule="exact"/>
        <w:jc w:val="center"/>
        <w:textAlignment w:val="auto"/>
        <w:rPr>
          <w:rFonts w:hint="eastAsia" w:ascii="宋体" w:hAnsi="宋体"/>
          <w:color w:val="000000"/>
          <w:sz w:val="24"/>
        </w:rPr>
      </w:pPr>
    </w:p>
    <w:p w14:paraId="26C2DBEB">
      <w:pPr>
        <w:pageBreakBefore w:val="0"/>
        <w:kinsoku/>
        <w:wordWrap/>
        <w:overflowPunct/>
        <w:topLinePunct w:val="0"/>
        <w:autoSpaceDE/>
        <w:autoSpaceDN/>
        <w:bidi w:val="0"/>
        <w:adjustRightInd/>
        <w:snapToGrid/>
        <w:spacing w:line="560" w:lineRule="exact"/>
        <w:jc w:val="center"/>
        <w:textAlignment w:val="auto"/>
        <w:rPr>
          <w:rFonts w:hint="eastAsia" w:ascii="黑体" w:eastAsia="黑体"/>
          <w:color w:val="000000"/>
          <w:sz w:val="30"/>
          <w:szCs w:val="30"/>
        </w:rPr>
      </w:pPr>
    </w:p>
    <w:p w14:paraId="29AFBECC">
      <w:pPr>
        <w:pageBreakBefore w:val="0"/>
        <w:kinsoku/>
        <w:wordWrap/>
        <w:overflowPunct/>
        <w:topLinePunct w:val="0"/>
        <w:autoSpaceDE/>
        <w:autoSpaceDN/>
        <w:bidi w:val="0"/>
        <w:adjustRightInd/>
        <w:snapToGrid/>
        <w:spacing w:line="560" w:lineRule="exact"/>
        <w:ind w:firstLine="435"/>
        <w:jc w:val="center"/>
        <w:textAlignment w:val="auto"/>
        <w:rPr>
          <w:rFonts w:hint="eastAsia" w:ascii="黑体" w:hAnsi="宋体" w:eastAsia="黑体"/>
          <w:b/>
          <w:color w:val="000000"/>
          <w:sz w:val="56"/>
          <w:szCs w:val="56"/>
        </w:rPr>
      </w:pPr>
      <w:r>
        <w:rPr>
          <w:rFonts w:hint="eastAsia" w:ascii="黑体" w:hAnsi="宋体" w:eastAsia="黑体"/>
          <w:b/>
          <w:color w:val="000000"/>
          <w:sz w:val="56"/>
          <w:szCs w:val="56"/>
        </w:rPr>
        <w:t>询比采购投标文件</w:t>
      </w:r>
    </w:p>
    <w:p w14:paraId="26D7DA75">
      <w:pPr>
        <w:pageBreakBefore w:val="0"/>
        <w:kinsoku/>
        <w:wordWrap/>
        <w:overflowPunct/>
        <w:topLinePunct w:val="0"/>
        <w:autoSpaceDE/>
        <w:autoSpaceDN/>
        <w:bidi w:val="0"/>
        <w:adjustRightInd/>
        <w:snapToGrid/>
        <w:spacing w:line="560" w:lineRule="exact"/>
        <w:textAlignment w:val="auto"/>
        <w:rPr>
          <w:rFonts w:hint="eastAsia" w:ascii="宋体" w:hAnsi="宋体"/>
          <w:b/>
          <w:color w:val="000000"/>
          <w:sz w:val="44"/>
          <w:szCs w:val="44"/>
        </w:rPr>
      </w:pPr>
    </w:p>
    <w:p w14:paraId="6106524D">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5D41B59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olor w:val="000000"/>
          <w:sz w:val="24"/>
          <w:szCs w:val="24"/>
        </w:rPr>
      </w:pPr>
      <w:r>
        <w:rPr>
          <w:rFonts w:hint="eastAsia" w:ascii="宋体" w:hAnsi="宋体"/>
          <w:color w:val="000000"/>
          <w:sz w:val="24"/>
          <w:szCs w:val="24"/>
        </w:rPr>
        <w:t>投标人：</w:t>
      </w:r>
      <w:r>
        <w:rPr>
          <w:rFonts w:hint="eastAsia" w:ascii="宋体" w:hAnsi="宋体"/>
          <w:color w:val="000000"/>
          <w:sz w:val="24"/>
          <w:szCs w:val="24"/>
          <w:u w:val="single"/>
        </w:rPr>
        <w:t>（公章）</w:t>
      </w:r>
    </w:p>
    <w:p w14:paraId="305B08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olor w:val="000000"/>
          <w:sz w:val="24"/>
          <w:szCs w:val="24"/>
        </w:rPr>
      </w:pPr>
      <w:r>
        <w:rPr>
          <w:rFonts w:hint="eastAsia" w:ascii="宋体" w:hAnsi="宋体"/>
          <w:color w:val="000000"/>
          <w:sz w:val="24"/>
          <w:szCs w:val="24"/>
        </w:rPr>
        <w:t>投标日期：</w:t>
      </w:r>
    </w:p>
    <w:p w14:paraId="265116C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标书类型：</w:t>
      </w:r>
      <w:r>
        <w:rPr>
          <w:rFonts w:hint="eastAsia" w:ascii="宋体" w:hAnsi="宋体"/>
          <w:color w:val="000000"/>
          <w:sz w:val="24"/>
          <w:szCs w:val="24"/>
          <w:u w:val="single"/>
        </w:rPr>
        <w:t>（壹）正（壹）副本（壹）电子版</w:t>
      </w:r>
    </w:p>
    <w:p w14:paraId="31185A03">
      <w:pPr>
        <w:pageBreakBefore w:val="0"/>
        <w:kinsoku/>
        <w:wordWrap/>
        <w:overflowPunct/>
        <w:topLinePunct w:val="0"/>
        <w:autoSpaceDE/>
        <w:autoSpaceDN/>
        <w:bidi w:val="0"/>
        <w:adjustRightInd/>
        <w:snapToGrid/>
        <w:spacing w:line="560" w:lineRule="exact"/>
        <w:jc w:val="left"/>
        <w:textAlignment w:val="auto"/>
        <w:rPr>
          <w:rFonts w:hint="eastAsia" w:ascii="宋体" w:hAnsi="宋体"/>
          <w:color w:val="000000"/>
          <w:sz w:val="32"/>
          <w:szCs w:val="32"/>
          <w:u w:val="single"/>
        </w:rPr>
      </w:pPr>
    </w:p>
    <w:p w14:paraId="594579E4">
      <w:pPr>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b/>
          <w:color w:val="000000"/>
          <w:sz w:val="24"/>
          <w:szCs w:val="24"/>
        </w:rPr>
      </w:pPr>
      <w:r>
        <w:rPr>
          <w:rFonts w:hint="eastAsia" w:ascii="宋体" w:hAnsi="宋体"/>
          <w:b/>
          <w:color w:val="000000"/>
          <w:sz w:val="24"/>
          <w:szCs w:val="24"/>
        </w:rPr>
        <w:t>注：在标书外封面上注明截止日期前不得启封字样，供应商必须按提供的询比采购投标文件密封袋封面格式制作询比采购投标文件密封袋封面，密封袋封面必须加盖清晰的投标单位公章及法人章。</w:t>
      </w:r>
    </w:p>
    <w:p w14:paraId="1CFE5819">
      <w:pPr>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sz w:val="24"/>
          <w:szCs w:val="24"/>
        </w:rPr>
      </w:pPr>
    </w:p>
    <w:p w14:paraId="05D374F3">
      <w:pPr>
        <w:pStyle w:val="3"/>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bookmarkStart w:id="39" w:name="_Toc29384"/>
      <w:r>
        <w:rPr>
          <w:rFonts w:hint="eastAsia"/>
          <w:color w:val="000000"/>
        </w:rPr>
        <w:t>询比采购投标文件封面格式</w:t>
      </w:r>
      <w:bookmarkEnd w:id="39"/>
    </w:p>
    <w:p w14:paraId="7D7931D7">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lang w:eastAsia="zh-CN"/>
        </w:rPr>
      </w:pPr>
      <w:r>
        <w:rPr>
          <w:rFonts w:hint="eastAsia" w:ascii="宋体" w:hAnsi="宋体"/>
          <w:color w:val="000000"/>
          <w:sz w:val="24"/>
        </w:rPr>
        <w:t>文件编号：</w:t>
      </w:r>
    </w:p>
    <w:p w14:paraId="04D2870F">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471DA4EF">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lang w:eastAsia="zh-CN"/>
        </w:rPr>
      </w:pPr>
    </w:p>
    <w:p w14:paraId="64004255">
      <w:pPr>
        <w:pageBreakBefore w:val="0"/>
        <w:kinsoku/>
        <w:wordWrap/>
        <w:overflowPunct/>
        <w:topLinePunct w:val="0"/>
        <w:autoSpaceDE/>
        <w:autoSpaceDN/>
        <w:bidi w:val="0"/>
        <w:adjustRightInd/>
        <w:snapToGrid/>
        <w:spacing w:line="560" w:lineRule="exact"/>
        <w:textAlignment w:val="auto"/>
        <w:rPr>
          <w:rFonts w:hint="eastAsia" w:ascii="宋体" w:hAnsi="宋体"/>
          <w:b/>
          <w:bCs/>
          <w:color w:val="000000"/>
          <w:sz w:val="56"/>
          <w:szCs w:val="56"/>
        </w:rPr>
      </w:pPr>
    </w:p>
    <w:p w14:paraId="363EBF8A">
      <w:pPr>
        <w:pageBreakBefore w:val="0"/>
        <w:kinsoku/>
        <w:wordWrap/>
        <w:overflowPunct/>
        <w:topLinePunct w:val="0"/>
        <w:autoSpaceDE/>
        <w:autoSpaceDN/>
        <w:bidi w:val="0"/>
        <w:adjustRightInd/>
        <w:snapToGrid/>
        <w:spacing w:line="560" w:lineRule="exact"/>
        <w:ind w:right="-163"/>
        <w:jc w:val="center"/>
        <w:textAlignment w:val="auto"/>
        <w:rPr>
          <w:rFonts w:hint="eastAsia" w:ascii="黑体" w:eastAsia="黑体"/>
          <w:b/>
          <w:bCs/>
          <w:iCs/>
          <w:color w:val="000000"/>
          <w:sz w:val="56"/>
          <w:szCs w:val="56"/>
          <w:lang w:val="en-US" w:eastAsia="zh-CN"/>
        </w:rPr>
      </w:pPr>
      <w:r>
        <w:rPr>
          <w:rFonts w:hint="eastAsia" w:ascii="黑体" w:eastAsia="黑体"/>
          <w:b/>
          <w:bCs/>
          <w:iCs/>
          <w:color w:val="000000"/>
          <w:sz w:val="56"/>
          <w:szCs w:val="56"/>
          <w:lang w:val="en-US" w:eastAsia="zh-CN"/>
        </w:rPr>
        <w:t>张家口霖辉物业管理集团有限公司</w:t>
      </w:r>
    </w:p>
    <w:p w14:paraId="3A43A54C">
      <w:pPr>
        <w:pageBreakBefore w:val="0"/>
        <w:kinsoku/>
        <w:wordWrap/>
        <w:overflowPunct/>
        <w:topLinePunct w:val="0"/>
        <w:autoSpaceDE/>
        <w:autoSpaceDN/>
        <w:bidi w:val="0"/>
        <w:adjustRightInd/>
        <w:snapToGrid/>
        <w:spacing w:line="560" w:lineRule="exact"/>
        <w:ind w:right="-163"/>
        <w:jc w:val="center"/>
        <w:textAlignment w:val="auto"/>
        <w:rPr>
          <w:rFonts w:hint="default" w:ascii="楷体" w:hAnsi="楷体" w:eastAsia="楷体" w:cs="楷体_GB2312"/>
          <w:b/>
          <w:bCs/>
          <w:w w:val="90"/>
          <w:kern w:val="52"/>
          <w:sz w:val="56"/>
          <w:szCs w:val="56"/>
          <w:lang w:val="en-US" w:eastAsia="zh-CN"/>
        </w:rPr>
      </w:pPr>
      <w:r>
        <w:rPr>
          <w:rFonts w:hint="eastAsia" w:ascii="黑体" w:hAnsi="黑体" w:eastAsia="黑体" w:cs="黑体"/>
          <w:b/>
          <w:bCs/>
          <w:w w:val="90"/>
          <w:kern w:val="52"/>
          <w:sz w:val="56"/>
          <w:szCs w:val="56"/>
          <w:lang w:val="en-US" w:eastAsia="zh-CN"/>
        </w:rPr>
        <w:t>张家口“四馆”安全保卫服务项目</w:t>
      </w:r>
    </w:p>
    <w:p w14:paraId="0739CB81">
      <w:pPr>
        <w:pageBreakBefore w:val="0"/>
        <w:kinsoku/>
        <w:wordWrap/>
        <w:overflowPunct/>
        <w:topLinePunct w:val="0"/>
        <w:autoSpaceDE/>
        <w:autoSpaceDN/>
        <w:bidi w:val="0"/>
        <w:adjustRightInd/>
        <w:snapToGrid/>
        <w:spacing w:line="560" w:lineRule="exact"/>
        <w:textAlignment w:val="auto"/>
        <w:rPr>
          <w:rFonts w:hint="eastAsia" w:ascii="宋体" w:hAnsi="宋体"/>
          <w:b/>
          <w:bCs/>
          <w:color w:val="000000"/>
          <w:sz w:val="56"/>
          <w:szCs w:val="56"/>
        </w:rPr>
      </w:pPr>
    </w:p>
    <w:p w14:paraId="59B9E45F">
      <w:pPr>
        <w:pageBreakBefore w:val="0"/>
        <w:kinsoku/>
        <w:wordWrap/>
        <w:overflowPunct/>
        <w:topLinePunct w:val="0"/>
        <w:autoSpaceDE/>
        <w:autoSpaceDN/>
        <w:bidi w:val="0"/>
        <w:adjustRightInd/>
        <w:snapToGrid/>
        <w:spacing w:line="560" w:lineRule="exact"/>
        <w:textAlignment w:val="auto"/>
        <w:rPr>
          <w:rFonts w:hint="eastAsia" w:ascii="宋体" w:hAnsi="宋体"/>
          <w:b/>
          <w:bCs/>
          <w:color w:val="000000"/>
          <w:sz w:val="56"/>
          <w:szCs w:val="56"/>
        </w:rPr>
      </w:pPr>
    </w:p>
    <w:p w14:paraId="340A4E5D">
      <w:pPr>
        <w:pageBreakBefore w:val="0"/>
        <w:kinsoku/>
        <w:wordWrap/>
        <w:overflowPunct/>
        <w:topLinePunct w:val="0"/>
        <w:autoSpaceDE/>
        <w:autoSpaceDN/>
        <w:bidi w:val="0"/>
        <w:adjustRightInd/>
        <w:snapToGrid/>
        <w:spacing w:line="560" w:lineRule="exact"/>
        <w:ind w:firstLine="435"/>
        <w:jc w:val="center"/>
        <w:textAlignment w:val="auto"/>
        <w:rPr>
          <w:rFonts w:hint="eastAsia" w:ascii="黑体" w:hAnsi="宋体" w:eastAsia="黑体"/>
          <w:b/>
          <w:bCs/>
          <w:color w:val="000000"/>
          <w:sz w:val="56"/>
          <w:szCs w:val="56"/>
        </w:rPr>
      </w:pPr>
      <w:r>
        <w:rPr>
          <w:rFonts w:hint="eastAsia" w:ascii="黑体" w:hAnsi="宋体" w:eastAsia="黑体"/>
          <w:b/>
          <w:bCs/>
          <w:color w:val="000000"/>
          <w:sz w:val="56"/>
          <w:szCs w:val="56"/>
        </w:rPr>
        <w:t>询比采购投标文件</w:t>
      </w:r>
    </w:p>
    <w:p w14:paraId="5DB9B06B">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09B44490">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4A8EEDBD">
      <w:pPr>
        <w:pageBreakBefore w:val="0"/>
        <w:kinsoku/>
        <w:wordWrap/>
        <w:overflowPunct/>
        <w:topLinePunct w:val="0"/>
        <w:autoSpaceDE/>
        <w:autoSpaceDN/>
        <w:bidi w:val="0"/>
        <w:adjustRightInd/>
        <w:snapToGrid/>
        <w:spacing w:line="560" w:lineRule="exact"/>
        <w:ind w:firstLine="435"/>
        <w:textAlignment w:val="auto"/>
        <w:rPr>
          <w:rFonts w:hint="eastAsia" w:ascii="宋体" w:hAnsi="宋体"/>
          <w:color w:val="000000"/>
          <w:sz w:val="24"/>
        </w:rPr>
      </w:pPr>
    </w:p>
    <w:p w14:paraId="5ED3DB4F">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bookmarkStart w:id="40" w:name="_Toc362532553"/>
      <w:bookmarkStart w:id="41" w:name="_Toc358906043"/>
      <w:bookmarkStart w:id="42" w:name="_Toc10947"/>
      <w:bookmarkStart w:id="43" w:name="_Toc357776763"/>
      <w:r>
        <w:rPr>
          <w:rFonts w:hint="eastAsia" w:asciiTheme="minorEastAsia" w:hAnsiTheme="minorEastAsia" w:eastAsiaTheme="minorEastAsia" w:cstheme="minorEastAsia"/>
          <w:color w:val="000000"/>
          <w:sz w:val="24"/>
          <w:szCs w:val="24"/>
        </w:rPr>
        <w:t>采购人：</w:t>
      </w:r>
      <w:r>
        <w:rPr>
          <w:rFonts w:hint="eastAsia" w:asciiTheme="minorEastAsia" w:hAnsiTheme="minorEastAsia" w:eastAsiaTheme="minorEastAsia" w:cstheme="minorEastAsia"/>
          <w:color w:val="000000"/>
          <w:sz w:val="24"/>
          <w:szCs w:val="24"/>
          <w:u w:val="single"/>
          <w:lang w:val="en-US" w:eastAsia="zh-CN"/>
        </w:rPr>
        <w:t>张家口霖辉物业管理集团有限公司</w:t>
      </w:r>
    </w:p>
    <w:p w14:paraId="700F8BF4">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投标人：</w:t>
      </w:r>
      <w:r>
        <w:rPr>
          <w:rFonts w:hint="eastAsia" w:asciiTheme="minorEastAsia" w:hAnsiTheme="minorEastAsia" w:eastAsiaTheme="minorEastAsia" w:cstheme="minorEastAsia"/>
          <w:color w:val="000000"/>
          <w:sz w:val="24"/>
          <w:szCs w:val="24"/>
          <w:u w:val="single"/>
        </w:rPr>
        <w:t>（公章）</w:t>
      </w:r>
    </w:p>
    <w:p w14:paraId="117F61AA">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地址：</w:t>
      </w:r>
    </w:p>
    <w:p w14:paraId="3687FA8B">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法定代表人：</w:t>
      </w:r>
      <w:r>
        <w:rPr>
          <w:rFonts w:hint="eastAsia" w:asciiTheme="minorEastAsia" w:hAnsiTheme="minorEastAsia" w:eastAsiaTheme="minorEastAsia" w:cstheme="minorEastAsia"/>
          <w:color w:val="000000"/>
          <w:sz w:val="24"/>
          <w:szCs w:val="24"/>
          <w:u w:val="single"/>
        </w:rPr>
        <w:t>（签字）</w:t>
      </w:r>
    </w:p>
    <w:p w14:paraId="2CD928F1">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联系电话：</w:t>
      </w:r>
    </w:p>
    <w:p w14:paraId="48B79A9D">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投标日期：</w:t>
      </w:r>
    </w:p>
    <w:p w14:paraId="5F950F50">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标书类型：</w:t>
      </w:r>
      <w:r>
        <w:rPr>
          <w:rFonts w:hint="eastAsia" w:asciiTheme="minorEastAsia" w:hAnsiTheme="minorEastAsia" w:eastAsiaTheme="minorEastAsia" w:cstheme="minorEastAsia"/>
          <w:color w:val="000000"/>
          <w:sz w:val="24"/>
          <w:szCs w:val="24"/>
          <w:u w:val="single"/>
        </w:rPr>
        <w:t>正本（或副本）</w:t>
      </w:r>
    </w:p>
    <w:p w14:paraId="2E26AF0E">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rPr>
      </w:pPr>
    </w:p>
    <w:p w14:paraId="6AAD948F">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注：供应商必须按招标人提供的询比采购投标文件封面格式制作询比采购投标文件封面。</w:t>
      </w:r>
    </w:p>
    <w:p w14:paraId="1FCC27F2">
      <w:pPr>
        <w:rPr>
          <w:rFonts w:hint="eastAsia" w:ascii="宋体" w:hAnsi="宋体"/>
          <w:b/>
          <w:color w:val="000000"/>
          <w:sz w:val="36"/>
          <w:szCs w:val="36"/>
        </w:rPr>
      </w:pPr>
      <w:r>
        <w:rPr>
          <w:rFonts w:hint="eastAsia" w:ascii="宋体" w:hAnsi="宋体"/>
          <w:b/>
          <w:color w:val="000000"/>
          <w:sz w:val="36"/>
          <w:szCs w:val="36"/>
        </w:rPr>
        <w:br w:type="page"/>
      </w:r>
    </w:p>
    <w:p w14:paraId="102AAED0">
      <w:pPr>
        <w:pStyle w:val="3"/>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供应商诚信承诺书</w:t>
      </w:r>
    </w:p>
    <w:p w14:paraId="0E8EE11A">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供应商诚信承诺书</w:t>
      </w:r>
    </w:p>
    <w:p w14:paraId="7F804FFB">
      <w:pPr>
        <w:rPr>
          <w:rFonts w:hint="eastAsia"/>
        </w:rPr>
      </w:pPr>
    </w:p>
    <w:p w14:paraId="30C1EEB5">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lang w:val="en-US" w:eastAsia="zh-CN"/>
        </w:rPr>
        <w:t>张家口霖辉物业管理集团有限公司</w:t>
      </w:r>
      <w:r>
        <w:rPr>
          <w:rFonts w:hint="eastAsia" w:ascii="宋体" w:hAnsi="宋体"/>
          <w:color w:val="000000"/>
          <w:sz w:val="24"/>
          <w:szCs w:val="24"/>
        </w:rPr>
        <w:t>：</w:t>
      </w:r>
    </w:p>
    <w:p w14:paraId="4F3C6F95">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b/>
          <w:color w:val="000000"/>
          <w:sz w:val="24"/>
          <w:szCs w:val="24"/>
        </w:rPr>
      </w:pPr>
      <w:r>
        <w:rPr>
          <w:rFonts w:hint="eastAsia" w:ascii="宋体" w:hAnsi="宋体"/>
          <w:color w:val="000000"/>
          <w:sz w:val="24"/>
          <w:szCs w:val="24"/>
        </w:rPr>
        <w:t>我公司自愿参与贵公司组织的</w:t>
      </w:r>
      <w:r>
        <w:rPr>
          <w:rFonts w:hint="eastAsia" w:ascii="宋体" w:hAnsi="宋体"/>
          <w:color w:val="000000"/>
          <w:sz w:val="24"/>
          <w:szCs w:val="24"/>
          <w:u w:val="single"/>
        </w:rPr>
        <w:t>（文件编号：）</w:t>
      </w:r>
      <w:r>
        <w:rPr>
          <w:rFonts w:hint="eastAsia" w:ascii="宋体" w:hAnsi="宋体"/>
          <w:color w:val="000000"/>
          <w:sz w:val="24"/>
          <w:szCs w:val="24"/>
        </w:rPr>
        <w:t>采购活动，严格遵守《中华人民共和国政府采购法》、《张家口市政府采购供应商诚信行为管理暂行办法》（张财字[2009]255号）的相关规定，坚守公平竞争，并无条件地遵守本次采购活动各项规定。</w:t>
      </w:r>
      <w:r>
        <w:rPr>
          <w:rFonts w:hint="eastAsia" w:ascii="宋体" w:hAnsi="宋体"/>
          <w:b/>
          <w:color w:val="000000"/>
          <w:sz w:val="24"/>
          <w:szCs w:val="24"/>
        </w:rPr>
        <w:t>我们郑重承诺：如果在本次招标活动中有以下情形的，愿意接受政府采购监管等部门给予相关处罚并承担法律责任。</w:t>
      </w:r>
    </w:p>
    <w:p w14:paraId="298A12B6">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（一）提供虚假材料谋取中标（中标）的；</w:t>
      </w:r>
    </w:p>
    <w:p w14:paraId="341F3D21">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（二）采取不正当手段诋毁、排挤其他供应商的；</w:t>
      </w:r>
    </w:p>
    <w:p w14:paraId="2B1D8ED0">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（三）与采购人、其他供应商或者采购招标人恶意串通的；</w:t>
      </w:r>
    </w:p>
    <w:p w14:paraId="2330C05D">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（四）向采购单位或责任人行贿或提供其他不正当利益的；</w:t>
      </w:r>
    </w:p>
    <w:p w14:paraId="10E086C9">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（五）在招标采购过程中与招标采购单位进行协商谈判或者与采购人另行订立背离合同实质性内容协议的；</w:t>
      </w:r>
    </w:p>
    <w:p w14:paraId="5B14AF43">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（六）开标后擅自撤销投标，影响招标继续进行的；</w:t>
      </w:r>
    </w:p>
    <w:p w14:paraId="5E817538">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（七）无正当理由，在规定时间内不与采购单位签订合同的；</w:t>
      </w:r>
    </w:p>
    <w:p w14:paraId="0D7FF488">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（八）将中标项目转让给他人或非法分包他人的；</w:t>
      </w:r>
    </w:p>
    <w:p w14:paraId="4E803076">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（九）无正当理由，拒绝履行合同义务的；</w:t>
      </w:r>
    </w:p>
    <w:p w14:paraId="35E90430">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（十）擅自在合同履行有效期内降低中标货物配置、技术指标等级或质量等级、更换品牌、弄虚作假等或终止政府采购合同的；</w:t>
      </w:r>
    </w:p>
    <w:p w14:paraId="18946047">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（十一）无正当理由放弃中标（中标）项目的；</w:t>
      </w:r>
    </w:p>
    <w:p w14:paraId="19394A26">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（十二）与采购人串通或接受采购人要求，在履约合同中通过减少货物数量，降低配置、技术要求、质量和服务标准等，却仍按原合同的数量、配置、技术要求、质量、服务标准等进行虚假验收的；</w:t>
      </w:r>
    </w:p>
    <w:p w14:paraId="14B96B20">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（十三）与采购人串通，对尚未履约完毕的采购项目出具虚假验收报告的；</w:t>
      </w:r>
    </w:p>
    <w:p w14:paraId="6C936FA1">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（十四）无不可抗力因素，拒绝提供售后服务、售后服务态度恶劣、故意提高维修配件价格（高于市场平均价）的；</w:t>
      </w:r>
    </w:p>
    <w:p w14:paraId="2C1AD24D">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（十五）投标后对询比采购文件的相关内容再进行质疑的；</w:t>
      </w:r>
    </w:p>
    <w:p w14:paraId="031C13FE">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（十六）恶意投诉的行为：投诉经查无实据的、捏造事实或者提供虚假投诉材料的；</w:t>
      </w:r>
    </w:p>
    <w:p w14:paraId="50D636EC">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（十七）拒绝有关部门监督检查或者提供虚假情况的；</w:t>
      </w:r>
    </w:p>
    <w:p w14:paraId="08003F51">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（十八）财政、监察部门认定的其他不诚信行为。</w:t>
      </w:r>
    </w:p>
    <w:p w14:paraId="0D49779C">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公司名称:（盖章）</w:t>
      </w:r>
    </w:p>
    <w:p w14:paraId="473C9B17">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法定代表人（签字）：</w:t>
      </w:r>
    </w:p>
    <w:p w14:paraId="240DE4EE">
      <w:pPr>
        <w:pageBreakBefore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ascii="宋体" w:hAnsi="宋体"/>
          <w:color w:val="000000"/>
          <w:sz w:val="24"/>
          <w:szCs w:val="24"/>
        </w:rPr>
        <w:t>年月日</w:t>
      </w:r>
      <w:bookmarkStart w:id="44" w:name="_Toc28013"/>
    </w:p>
    <w:p w14:paraId="66D376CF">
      <w:pPr>
        <w:rPr>
          <w:rFonts w:hint="eastAsia"/>
          <w:color w:val="000000"/>
        </w:rPr>
      </w:pPr>
      <w:r>
        <w:rPr>
          <w:rFonts w:hint="eastAsia"/>
          <w:color w:val="000000"/>
        </w:rPr>
        <w:br w:type="page"/>
      </w:r>
    </w:p>
    <w:p w14:paraId="75C55F38">
      <w:pPr>
        <w:pStyle w:val="3"/>
        <w:pageBreakBefore w:val="0"/>
        <w:kinsoku/>
        <w:wordWrap/>
        <w:overflowPunct/>
        <w:topLinePunct w:val="0"/>
        <w:autoSpaceDE/>
        <w:autoSpaceDN/>
        <w:bidi w:val="0"/>
        <w:adjustRightInd/>
        <w:snapToGrid/>
        <w:spacing w:line="560" w:lineRule="exact"/>
        <w:textAlignment w:val="auto"/>
        <w:rPr>
          <w:rFonts w:hint="eastAsia" w:ascii="宋体" w:hAnsi="宋体"/>
          <w:b/>
          <w:color w:val="000000"/>
          <w:sz w:val="24"/>
          <w:szCs w:val="24"/>
        </w:rPr>
      </w:pPr>
      <w:r>
        <w:rPr>
          <w:rFonts w:hint="eastAsia"/>
          <w:color w:val="000000"/>
          <w:sz w:val="24"/>
          <w:szCs w:val="24"/>
        </w:rPr>
        <w:t>投标函格式</w:t>
      </w:r>
      <w:bookmarkEnd w:id="44"/>
    </w:p>
    <w:p w14:paraId="46A7FB63">
      <w:pPr>
        <w:pageBreakBefore w:val="0"/>
        <w:kinsoku/>
        <w:wordWrap/>
        <w:overflowPunct/>
        <w:topLinePunct w:val="0"/>
        <w:autoSpaceDE/>
        <w:autoSpaceDN/>
        <w:bidi w:val="0"/>
        <w:adjustRightInd/>
        <w:snapToGrid/>
        <w:spacing w:line="560" w:lineRule="exact"/>
        <w:ind w:firstLine="435"/>
        <w:jc w:val="center"/>
        <w:textAlignment w:val="auto"/>
        <w:rPr>
          <w:rFonts w:hint="eastAsia" w:ascii="宋体" w:hAnsi="宋体"/>
          <w:b/>
          <w:color w:val="000000"/>
          <w:sz w:val="24"/>
          <w:szCs w:val="24"/>
        </w:rPr>
      </w:pPr>
      <w:r>
        <w:rPr>
          <w:rFonts w:hint="eastAsia" w:ascii="宋体" w:hAnsi="宋体"/>
          <w:b/>
          <w:color w:val="000000"/>
          <w:sz w:val="24"/>
          <w:szCs w:val="24"/>
        </w:rPr>
        <w:t>投标函</w:t>
      </w:r>
    </w:p>
    <w:p w14:paraId="05F9F653">
      <w:pPr>
        <w:pageBreakBefore w:val="0"/>
        <w:kinsoku/>
        <w:wordWrap/>
        <w:overflowPunct/>
        <w:topLinePunct w:val="0"/>
        <w:autoSpaceDE/>
        <w:autoSpaceDN/>
        <w:bidi w:val="0"/>
        <w:adjustRightInd/>
        <w:snapToGrid/>
        <w:spacing w:line="560" w:lineRule="exact"/>
        <w:ind w:firstLine="435"/>
        <w:jc w:val="center"/>
        <w:textAlignment w:val="auto"/>
        <w:rPr>
          <w:rFonts w:hint="eastAsia" w:ascii="宋体" w:hAnsi="宋体"/>
          <w:b/>
          <w:color w:val="000000"/>
          <w:sz w:val="24"/>
          <w:szCs w:val="24"/>
        </w:rPr>
      </w:pPr>
    </w:p>
    <w:p w14:paraId="56B7FAC4">
      <w:pPr>
        <w:pageBreakBefore w:val="0"/>
        <w:kinsoku/>
        <w:wordWrap/>
        <w:overflowPunct/>
        <w:topLinePunct w:val="0"/>
        <w:autoSpaceDE/>
        <w:autoSpaceDN/>
        <w:bidi w:val="0"/>
        <w:adjustRightInd/>
        <w:snapToGrid/>
        <w:spacing w:line="560" w:lineRule="exact"/>
        <w:jc w:val="left"/>
        <w:textAlignment w:val="auto"/>
        <w:rPr>
          <w:rFonts w:hint="eastAsia" w:ascii="宋体" w:hAnsi="宋体"/>
          <w:color w:val="000000"/>
          <w:sz w:val="24"/>
          <w:szCs w:val="24"/>
        </w:rPr>
      </w:pPr>
      <w:r>
        <w:rPr>
          <w:rFonts w:hint="eastAsia" w:ascii="宋体" w:hAnsi="宋体"/>
          <w:color w:val="000000"/>
          <w:sz w:val="24"/>
          <w:szCs w:val="24"/>
        </w:rPr>
        <w:t>致：</w:t>
      </w:r>
      <w:r>
        <w:rPr>
          <w:rFonts w:hint="eastAsia" w:ascii="宋体" w:hAnsi="宋体"/>
          <w:color w:val="000000"/>
          <w:sz w:val="24"/>
          <w:szCs w:val="24"/>
          <w:lang w:val="en-US" w:eastAsia="zh-CN"/>
        </w:rPr>
        <w:t>张家口霖辉物业管理集团有限公司</w:t>
      </w:r>
    </w:p>
    <w:p w14:paraId="67988703">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根据贵方</w:t>
      </w:r>
      <w:r>
        <w:rPr>
          <w:rFonts w:hint="eastAsia" w:ascii="宋体" w:hAnsi="宋体"/>
          <w:iCs/>
          <w:color w:val="000000"/>
          <w:sz w:val="24"/>
          <w:szCs w:val="24"/>
          <w:u w:val="single"/>
          <w:lang w:val="en-US" w:eastAsia="zh-CN"/>
        </w:rPr>
        <w:t>（项目名称）</w:t>
      </w:r>
      <w:r>
        <w:rPr>
          <w:rFonts w:hint="eastAsia" w:ascii="宋体" w:hAnsi="宋体"/>
          <w:color w:val="000000"/>
          <w:sz w:val="24"/>
          <w:szCs w:val="24"/>
        </w:rPr>
        <w:t>询比采购文件</w:t>
      </w:r>
      <w:r>
        <w:rPr>
          <w:rFonts w:hint="eastAsia" w:ascii="宋体" w:hAnsi="宋体"/>
          <w:color w:val="000000"/>
          <w:sz w:val="24"/>
          <w:szCs w:val="24"/>
          <w:u w:val="single"/>
        </w:rPr>
        <w:t>（项目编号：）</w:t>
      </w:r>
      <w:r>
        <w:rPr>
          <w:rFonts w:hint="eastAsia" w:ascii="宋体" w:hAnsi="宋体"/>
          <w:color w:val="000000"/>
          <w:sz w:val="24"/>
          <w:szCs w:val="24"/>
        </w:rPr>
        <w:t>，正式授权下述签字人</w:t>
      </w:r>
      <w:r>
        <w:rPr>
          <w:rFonts w:hint="eastAsia" w:ascii="宋体" w:hAnsi="宋体"/>
          <w:color w:val="000000"/>
          <w:sz w:val="24"/>
          <w:szCs w:val="24"/>
          <w:u w:val="single"/>
        </w:rPr>
        <w:t>(姓名和职务)</w:t>
      </w:r>
      <w:r>
        <w:rPr>
          <w:rFonts w:hint="eastAsia" w:ascii="宋体" w:hAnsi="宋体"/>
          <w:color w:val="000000"/>
          <w:sz w:val="24"/>
          <w:szCs w:val="24"/>
        </w:rPr>
        <w:t>代表供应商</w:t>
      </w:r>
      <w:r>
        <w:rPr>
          <w:rFonts w:hint="eastAsia" w:ascii="宋体" w:hAnsi="宋体"/>
          <w:color w:val="000000"/>
          <w:sz w:val="24"/>
          <w:szCs w:val="24"/>
          <w:u w:val="single"/>
        </w:rPr>
        <w:t>(供应商的名称)</w:t>
      </w:r>
      <w:r>
        <w:rPr>
          <w:rFonts w:hint="eastAsia" w:ascii="宋体" w:hAnsi="宋体"/>
          <w:color w:val="000000"/>
          <w:sz w:val="24"/>
          <w:szCs w:val="24"/>
        </w:rPr>
        <w:t>,提交询比采购投标文件。</w:t>
      </w:r>
    </w:p>
    <w:p w14:paraId="7B3D9B25">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据此函，签字人宣布同意如下：</w:t>
      </w:r>
    </w:p>
    <w:p w14:paraId="12A02A0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（1）按询比采购文件规定，</w:t>
      </w:r>
      <w:r>
        <w:rPr>
          <w:rFonts w:hint="eastAsia" w:ascii="宋体" w:hAnsi="宋体"/>
          <w:color w:val="000000"/>
          <w:sz w:val="24"/>
          <w:szCs w:val="24"/>
          <w:lang w:val="en-US" w:eastAsia="zh-CN"/>
        </w:rPr>
        <w:t>张家口霖辉物业管理集团有限公司</w:t>
      </w:r>
      <w:r>
        <w:rPr>
          <w:rFonts w:hint="eastAsia" w:ascii="宋体" w:hAnsi="宋体"/>
          <w:color w:val="000000"/>
          <w:sz w:val="24"/>
          <w:szCs w:val="24"/>
        </w:rPr>
        <w:t>投标报价为：</w:t>
      </w:r>
    </w:p>
    <w:p w14:paraId="5F0E7EC8">
      <w:pPr>
        <w:pageBreakBefore w:val="0"/>
        <w:kinsoku/>
        <w:wordWrap/>
        <w:overflowPunct/>
        <w:topLinePunct w:val="0"/>
        <w:autoSpaceDE/>
        <w:autoSpaceDN/>
        <w:bidi w:val="0"/>
        <w:adjustRightInd/>
        <w:snapToGrid/>
        <w:spacing w:line="560" w:lineRule="exact"/>
        <w:ind w:firstLine="600" w:firstLineChars="250"/>
        <w:jc w:val="left"/>
        <w:textAlignment w:val="auto"/>
        <w:rPr>
          <w:rFonts w:hint="eastAsia" w:ascii="宋体" w:hAnsi="宋体"/>
          <w:color w:val="000000"/>
          <w:sz w:val="24"/>
          <w:szCs w:val="24"/>
        </w:rPr>
      </w:pPr>
      <w:r>
        <w:rPr>
          <w:rFonts w:hint="eastAsia" w:ascii="宋体" w:hAnsi="宋体"/>
          <w:color w:val="000000"/>
          <w:sz w:val="24"/>
          <w:szCs w:val="24"/>
        </w:rPr>
        <w:t>人民币（小写）元；人民币（大写）：元；</w:t>
      </w:r>
    </w:p>
    <w:p w14:paraId="5681BD5F">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（2）我们承担询比采购文件规定的责任和义务；</w:t>
      </w:r>
    </w:p>
    <w:p w14:paraId="3CD7B34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（3）我们已详细阅读并理解全部询比采购文件，及其有效补充文件，我们知道必须放弃提出含糊不清或误解的权利；</w:t>
      </w:r>
    </w:p>
    <w:p w14:paraId="3FA725B6">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（4）我们同意从规定的开标日期起遵循本投标书，并在规定的投标有效期满之前均具有约束力；</w:t>
      </w:r>
    </w:p>
    <w:p w14:paraId="15D4B55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（5）如果在开标后规定的投标有效期内撤回投标或者有其他违约行为，我们的投标保证金可被全部没收；</w:t>
      </w:r>
    </w:p>
    <w:p w14:paraId="78844794">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（6）同意提供贵方可能另外要求的与本次招标有关的任何数据或资料；</w:t>
      </w:r>
    </w:p>
    <w:p w14:paraId="2089182B">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（7）我们完全理解贵方不一定要接受最低报价的投标；</w:t>
      </w:r>
    </w:p>
    <w:p w14:paraId="046E9466">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（8）一旦我方中标，我们将根据询比采购文件的规定，严格按照《中华人民共和国政府采购法》、《中华人民共和国民法典》的规定履行自己的责任和义务；</w:t>
      </w:r>
    </w:p>
    <w:p w14:paraId="59D8A6A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（9）遵守询比采购文件中要求的收费项目和标准；</w:t>
      </w:r>
    </w:p>
    <w:p w14:paraId="5AA8DD5E">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（10）与本次投标有关的联系方式为：</w:t>
      </w:r>
    </w:p>
    <w:p w14:paraId="6E1ABD40">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地址：邮政编码：</w:t>
      </w:r>
    </w:p>
    <w:p w14:paraId="37D3F19E">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联系人：电话：传真：</w:t>
      </w:r>
    </w:p>
    <w:p w14:paraId="03297031">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法定代表人（签字）：</w:t>
      </w:r>
    </w:p>
    <w:p w14:paraId="4896963A">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供应商全称（公章）：</w:t>
      </w:r>
    </w:p>
    <w:p w14:paraId="37478F72">
      <w:pPr>
        <w:pageBreakBefore w:val="0"/>
        <w:kinsoku/>
        <w:wordWrap/>
        <w:overflowPunct/>
        <w:topLinePunct w:val="0"/>
        <w:autoSpaceDE/>
        <w:autoSpaceDN/>
        <w:bidi w:val="0"/>
        <w:adjustRightInd/>
        <w:snapToGrid/>
        <w:spacing w:line="560" w:lineRule="exact"/>
        <w:ind w:firstLine="5760" w:firstLineChars="2400"/>
        <w:jc w:val="left"/>
        <w:textAlignment w:val="auto"/>
        <w:outlineLvl w:val="9"/>
        <w:rPr>
          <w:rFonts w:hint="eastAsia"/>
          <w:color w:val="000000"/>
          <w:sz w:val="24"/>
          <w:szCs w:val="24"/>
        </w:rPr>
      </w:pPr>
      <w:r>
        <w:rPr>
          <w:rFonts w:hint="eastAsia"/>
          <w:color w:val="000000"/>
          <w:sz w:val="24"/>
          <w:szCs w:val="24"/>
        </w:rPr>
        <w:t>年月日</w:t>
      </w:r>
    </w:p>
    <w:p w14:paraId="0507F697">
      <w:pPr>
        <w:pageBreakBefore w:val="0"/>
        <w:kinsoku/>
        <w:wordWrap/>
        <w:overflowPunct/>
        <w:topLinePunct w:val="0"/>
        <w:autoSpaceDE/>
        <w:autoSpaceDN/>
        <w:bidi w:val="0"/>
        <w:adjustRightInd/>
        <w:snapToGrid/>
        <w:spacing w:line="560" w:lineRule="exact"/>
        <w:textAlignment w:val="auto"/>
        <w:outlineLvl w:val="9"/>
        <w:rPr>
          <w:rFonts w:hint="eastAsia"/>
        </w:rPr>
      </w:pPr>
    </w:p>
    <w:p w14:paraId="1098586B">
      <w:pPr>
        <w:outlineLvl w:val="9"/>
        <w:rPr>
          <w:rFonts w:hint="eastAsia"/>
          <w:color w:val="000000"/>
        </w:rPr>
      </w:pPr>
      <w:bookmarkStart w:id="45" w:name="_Toc28617"/>
      <w:r>
        <w:rPr>
          <w:rFonts w:hint="eastAsia"/>
          <w:color w:val="000000"/>
        </w:rPr>
        <w:br w:type="page"/>
      </w:r>
    </w:p>
    <w:p w14:paraId="1D253A0D">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投标报价表格式</w:t>
      </w:r>
      <w:bookmarkEnd w:id="45"/>
    </w:p>
    <w:p w14:paraId="30D92A12">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0A7F11C0">
      <w:pPr>
        <w:pageBreakBefore w:val="0"/>
        <w:widowControl/>
        <w:kinsoku/>
        <w:wordWrap/>
        <w:overflowPunct/>
        <w:topLinePunct w:val="0"/>
        <w:autoSpaceDE/>
        <w:autoSpaceDN/>
        <w:bidi w:val="0"/>
        <w:adjustRightInd/>
        <w:snapToGrid/>
        <w:spacing w:line="560" w:lineRule="exact"/>
        <w:ind w:firstLine="437"/>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lang w:bidi="ar"/>
        </w:rPr>
        <w:t>投标报价表</w:t>
      </w:r>
    </w:p>
    <w:p w14:paraId="16053D03">
      <w:pPr>
        <w:pageBreakBefore w:val="0"/>
        <w:widowControl/>
        <w:kinsoku/>
        <w:wordWrap/>
        <w:overflowPunct/>
        <w:topLinePunct w:val="0"/>
        <w:autoSpaceDE/>
        <w:autoSpaceDN/>
        <w:bidi w:val="0"/>
        <w:adjustRightInd/>
        <w:snapToGrid/>
        <w:spacing w:line="560" w:lineRule="exact"/>
        <w:ind w:firstLine="437"/>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金额单位：元</w:t>
      </w:r>
    </w:p>
    <w:tbl>
      <w:tblPr>
        <w:tblStyle w:val="14"/>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230"/>
        <w:gridCol w:w="1621"/>
        <w:gridCol w:w="1064"/>
        <w:gridCol w:w="1204"/>
        <w:gridCol w:w="1304"/>
        <w:gridCol w:w="1457"/>
      </w:tblGrid>
      <w:tr w14:paraId="5028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5747640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7E4BEF1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名称</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7327DD28">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数量</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BFA8B3D">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单价</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61A36F0">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合价</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099FA68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备注</w:t>
            </w:r>
          </w:p>
        </w:tc>
      </w:tr>
      <w:tr w14:paraId="4C60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40D9A9F3">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6170B91C">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3542E6DA">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F80C87A">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72D61B6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78BBA3E0">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00B9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78718D6D">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182465EC">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26D936F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1BBF633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51E018D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2D32BF4E">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699F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22D081B2">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2002D239">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230A417D">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1FAA0B57">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3325011">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1FBFC5B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68D0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7F50CD75">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620D5AF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77C207D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977DAAA">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5267592A">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0435CB6C">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23E8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1D1D16F3">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48740EC">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服务周期</w:t>
            </w:r>
          </w:p>
        </w:tc>
        <w:tc>
          <w:tcPr>
            <w:tcW w:w="6650" w:type="dxa"/>
            <w:gridSpan w:val="5"/>
            <w:tcBorders>
              <w:top w:val="single" w:color="auto" w:sz="4" w:space="0"/>
              <w:left w:val="single" w:color="auto" w:sz="4" w:space="0"/>
              <w:bottom w:val="single" w:color="auto" w:sz="4" w:space="0"/>
              <w:right w:val="single" w:color="auto" w:sz="4" w:space="0"/>
            </w:tcBorders>
            <w:noWrap w:val="0"/>
            <w:vAlign w:val="center"/>
          </w:tcPr>
          <w:p w14:paraId="4A9A924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5A39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5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51470D2">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bidi="ar"/>
              </w:rPr>
              <w:t>合计</w:t>
            </w:r>
          </w:p>
        </w:tc>
        <w:tc>
          <w:tcPr>
            <w:tcW w:w="6650" w:type="dxa"/>
            <w:gridSpan w:val="5"/>
            <w:tcBorders>
              <w:top w:val="single" w:color="auto" w:sz="4" w:space="0"/>
              <w:left w:val="single" w:color="auto" w:sz="4" w:space="0"/>
              <w:bottom w:val="single" w:color="auto" w:sz="4" w:space="0"/>
              <w:right w:val="single" w:color="auto" w:sz="4" w:space="0"/>
            </w:tcBorders>
            <w:noWrap w:val="0"/>
            <w:vAlign w:val="center"/>
          </w:tcPr>
          <w:p w14:paraId="5D48E12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kern w:val="0"/>
                <w:sz w:val="24"/>
                <w:szCs w:val="24"/>
                <w:lang w:bidi="ar"/>
              </w:rPr>
            </w:pPr>
            <w:r>
              <w:rPr>
                <w:rFonts w:hint="eastAsia" w:asciiTheme="minorEastAsia" w:hAnsiTheme="minorEastAsia" w:eastAsiaTheme="minorEastAsia" w:cstheme="minorEastAsia"/>
                <w:b/>
                <w:kern w:val="0"/>
                <w:sz w:val="24"/>
                <w:szCs w:val="24"/>
                <w:lang w:bidi="ar"/>
              </w:rPr>
              <w:t>小写</w:t>
            </w:r>
            <w:r>
              <w:rPr>
                <w:rFonts w:hint="eastAsia" w:asciiTheme="minorEastAsia" w:hAnsiTheme="minorEastAsia" w:eastAsiaTheme="minorEastAsia" w:cstheme="minorEastAsia"/>
                <w:b/>
                <w:kern w:val="0"/>
                <w:sz w:val="24"/>
                <w:szCs w:val="24"/>
                <w:lang w:eastAsia="zh-CN" w:bidi="ar"/>
              </w:rPr>
              <w:t>：</w:t>
            </w:r>
            <w:r>
              <w:rPr>
                <w:rFonts w:hint="eastAsia" w:asciiTheme="minorEastAsia" w:hAnsiTheme="minorEastAsia" w:eastAsiaTheme="minorEastAsia" w:cstheme="minorEastAsia"/>
                <w:b/>
                <w:kern w:val="0"/>
                <w:sz w:val="24"/>
                <w:szCs w:val="24"/>
                <w:u w:val="single"/>
                <w:lang w:val="en-US" w:eastAsia="zh-CN" w:bidi="ar"/>
              </w:rPr>
              <w:t xml:space="preserve">    </w:t>
            </w:r>
            <w:r>
              <w:rPr>
                <w:rFonts w:hint="eastAsia" w:asciiTheme="minorEastAsia" w:hAnsiTheme="minorEastAsia" w:eastAsiaTheme="minorEastAsia" w:cstheme="minorEastAsia"/>
                <w:b/>
                <w:kern w:val="0"/>
                <w:sz w:val="24"/>
                <w:szCs w:val="24"/>
                <w:u w:val="single"/>
                <w:lang w:bidi="ar"/>
              </w:rPr>
              <w:t>元</w:t>
            </w:r>
          </w:p>
        </w:tc>
      </w:tr>
      <w:tr w14:paraId="548C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15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B396AFA">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6650" w:type="dxa"/>
            <w:gridSpan w:val="5"/>
            <w:tcBorders>
              <w:top w:val="single" w:color="auto" w:sz="4" w:space="0"/>
              <w:left w:val="single" w:color="auto" w:sz="4" w:space="0"/>
              <w:bottom w:val="single" w:color="auto" w:sz="4" w:space="0"/>
              <w:right w:val="single" w:color="auto" w:sz="4" w:space="0"/>
            </w:tcBorders>
            <w:noWrap w:val="0"/>
            <w:vAlign w:val="center"/>
          </w:tcPr>
          <w:p w14:paraId="7C0A8C20">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kern w:val="0"/>
                <w:sz w:val="24"/>
                <w:szCs w:val="24"/>
                <w:lang w:bidi="ar"/>
              </w:rPr>
            </w:pPr>
            <w:r>
              <w:rPr>
                <w:rFonts w:hint="eastAsia" w:asciiTheme="minorEastAsia" w:hAnsiTheme="minorEastAsia" w:eastAsiaTheme="minorEastAsia" w:cstheme="minorEastAsia"/>
                <w:b/>
                <w:kern w:val="0"/>
                <w:sz w:val="24"/>
                <w:szCs w:val="24"/>
                <w:lang w:bidi="ar"/>
              </w:rPr>
              <w:t>大写</w:t>
            </w:r>
            <w:r>
              <w:rPr>
                <w:rFonts w:hint="eastAsia" w:asciiTheme="minorEastAsia" w:hAnsiTheme="minorEastAsia" w:eastAsiaTheme="minorEastAsia" w:cstheme="minorEastAsia"/>
                <w:b/>
                <w:kern w:val="0"/>
                <w:sz w:val="24"/>
                <w:szCs w:val="24"/>
                <w:lang w:eastAsia="zh-CN" w:bidi="ar"/>
              </w:rPr>
              <w:t>：</w:t>
            </w:r>
            <w:r>
              <w:rPr>
                <w:rFonts w:hint="eastAsia" w:asciiTheme="minorEastAsia" w:hAnsiTheme="minorEastAsia" w:eastAsiaTheme="minorEastAsia" w:cstheme="minorEastAsia"/>
                <w:b/>
                <w:kern w:val="0"/>
                <w:sz w:val="24"/>
                <w:szCs w:val="24"/>
                <w:u w:val="single"/>
                <w:lang w:val="en-US" w:eastAsia="zh-CN" w:bidi="ar"/>
              </w:rPr>
              <w:t xml:space="preserve">    </w:t>
            </w:r>
            <w:r>
              <w:rPr>
                <w:rFonts w:hint="eastAsia" w:asciiTheme="minorEastAsia" w:hAnsiTheme="minorEastAsia" w:eastAsiaTheme="minorEastAsia" w:cstheme="minorEastAsia"/>
                <w:b/>
                <w:kern w:val="0"/>
                <w:sz w:val="24"/>
                <w:szCs w:val="24"/>
                <w:u w:val="single"/>
                <w:lang w:bidi="ar"/>
              </w:rPr>
              <w:t>元</w:t>
            </w:r>
          </w:p>
        </w:tc>
      </w:tr>
    </w:tbl>
    <w:p w14:paraId="587B49C9">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注：</w:t>
      </w:r>
    </w:p>
    <w:p w14:paraId="670AA34F">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1、供应商应当按表中规定格式完整、清晰、正确填写投报产品的所有内容。</w:t>
      </w:r>
    </w:p>
    <w:p w14:paraId="15E3C43C">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2、投标报价表中不得填报有选择性报价方案，供应商对每项产品仅接受一个价格，此报价为最终报价。该表中的报价应与投标函中的报价完全一致,否则为无效报价。</w:t>
      </w:r>
    </w:p>
    <w:p w14:paraId="566E3FA3">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3、单价和总价均应包括全部货物费、包装费、装卸费、运输等费用，以及已支付或将支付的营业税和其它税费。</w:t>
      </w:r>
    </w:p>
    <w:p w14:paraId="125AEEE9">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4、价格合计数与投标函总价数一致。</w:t>
      </w:r>
    </w:p>
    <w:p w14:paraId="0C547331">
      <w:pPr>
        <w:pageBreakBefore w:val="0"/>
        <w:widowControl/>
        <w:kinsoku/>
        <w:wordWrap/>
        <w:overflowPunct/>
        <w:topLinePunct w:val="0"/>
        <w:bidi w:val="0"/>
        <w:spacing w:line="560" w:lineRule="exact"/>
        <w:ind w:firstLine="437"/>
        <w:jc w:val="left"/>
        <w:textAlignment w:val="auto"/>
        <w:rPr>
          <w:rFonts w:hint="eastAsia" w:asciiTheme="minorEastAsia" w:hAnsiTheme="minorEastAsia" w:eastAsiaTheme="minorEastAsia" w:cstheme="minorEastAsia"/>
          <w:sz w:val="24"/>
          <w:szCs w:val="24"/>
        </w:rPr>
      </w:pPr>
      <w:bookmarkStart w:id="46" w:name="_Toc30357"/>
      <w:bookmarkStart w:id="47" w:name="_Toc8958"/>
      <w:bookmarkStart w:id="48" w:name="_Toc259996721"/>
      <w:bookmarkStart w:id="49" w:name="_Toc498612957"/>
      <w:bookmarkStart w:id="50" w:name="_Toc11035"/>
      <w:bookmarkStart w:id="51" w:name="_Toc454176467"/>
      <w:bookmarkStart w:id="52" w:name="_Toc454178787"/>
      <w:bookmarkStart w:id="53" w:name="_Toc16"/>
      <w:r>
        <w:rPr>
          <w:rFonts w:hint="eastAsia" w:asciiTheme="minorEastAsia" w:hAnsiTheme="minorEastAsia" w:eastAsiaTheme="minorEastAsia" w:cstheme="minorEastAsia"/>
          <w:kern w:val="0"/>
          <w:sz w:val="24"/>
          <w:szCs w:val="24"/>
          <w:lang w:bidi="ar"/>
        </w:rPr>
        <w:t>投标人：</w:t>
      </w:r>
      <w:r>
        <w:rPr>
          <w:rFonts w:hint="eastAsia" w:asciiTheme="minorEastAsia" w:hAnsiTheme="minorEastAsia" w:eastAsia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bidi="ar"/>
        </w:rPr>
        <w:t>法定代表人或其授权委托人：</w:t>
      </w:r>
    </w:p>
    <w:p w14:paraId="771D9217">
      <w:pPr>
        <w:pageBreakBefore w:val="0"/>
        <w:widowControl/>
        <w:kinsoku/>
        <w:wordWrap/>
        <w:overflowPunct/>
        <w:topLinePunct w:val="0"/>
        <w:bidi w:val="0"/>
        <w:spacing w:line="560" w:lineRule="exact"/>
        <w:ind w:firstLine="437"/>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（公章）</w:t>
      </w:r>
      <w:r>
        <w:rPr>
          <w:rFonts w:hint="eastAsia" w:asciiTheme="minorEastAsia" w:hAnsiTheme="minorEastAsia" w:eastAsia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bidi="ar"/>
        </w:rPr>
        <w:t>（签字或盖章）</w:t>
      </w:r>
    </w:p>
    <w:p w14:paraId="0CDC36E4">
      <w:pPr>
        <w:pageBreakBefore w:val="0"/>
        <w:widowControl/>
        <w:kinsoku/>
        <w:wordWrap/>
        <w:overflowPunct/>
        <w:topLinePunct w:val="0"/>
        <w:bidi w:val="0"/>
        <w:spacing w:line="560" w:lineRule="exact"/>
        <w:ind w:firstLine="437"/>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bidi="ar"/>
        </w:rPr>
        <w:t>年月日</w:t>
      </w:r>
    </w:p>
    <w:p w14:paraId="0E3EFD63">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br w:type="page"/>
      </w:r>
    </w:p>
    <w:p w14:paraId="2DE4322C">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服务要求响应及偏离表格式</w:t>
      </w:r>
      <w:bookmarkEnd w:id="46"/>
      <w:bookmarkEnd w:id="47"/>
      <w:bookmarkEnd w:id="48"/>
      <w:bookmarkEnd w:id="49"/>
      <w:bookmarkEnd w:id="50"/>
      <w:bookmarkEnd w:id="51"/>
      <w:bookmarkEnd w:id="52"/>
      <w:bookmarkEnd w:id="53"/>
    </w:p>
    <w:p w14:paraId="62B73E6F">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27EE9EF8">
      <w:pPr>
        <w:pageBreakBefore w:val="0"/>
        <w:widowControl/>
        <w:kinsoku/>
        <w:wordWrap/>
        <w:overflowPunct/>
        <w:topLinePunct w:val="0"/>
        <w:autoSpaceDE/>
        <w:autoSpaceDN/>
        <w:bidi w:val="0"/>
        <w:adjustRightInd/>
        <w:snapToGrid/>
        <w:spacing w:line="560" w:lineRule="exact"/>
        <w:ind w:firstLine="437"/>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lang w:bidi="ar"/>
        </w:rPr>
        <w:t>服务要求响应及偏离表</w:t>
      </w:r>
    </w:p>
    <w:p w14:paraId="3E5A7494">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bl>
      <w:tblPr>
        <w:tblStyle w:val="14"/>
        <w:tblpPr w:leftFromText="180" w:rightFromText="180" w:vertAnchor="text" w:horzAnchor="margin" w:tblpXSpec="center" w:tblpY="6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2033"/>
        <w:gridCol w:w="1580"/>
        <w:gridCol w:w="3390"/>
        <w:gridCol w:w="1129"/>
      </w:tblGrid>
      <w:tr w14:paraId="5B52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4"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3331FBB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kern w:val="0"/>
                <w:sz w:val="24"/>
                <w:szCs w:val="24"/>
                <w:lang w:bidi="ar"/>
              </w:rPr>
            </w:pPr>
            <w:r>
              <w:rPr>
                <w:rFonts w:hint="eastAsia" w:asciiTheme="minorEastAsia" w:hAnsiTheme="minorEastAsia" w:eastAsiaTheme="minorEastAsia" w:cstheme="minorEastAsia"/>
                <w:bCs/>
                <w:kern w:val="0"/>
                <w:sz w:val="24"/>
                <w:szCs w:val="24"/>
                <w:lang w:bidi="ar"/>
              </w:rPr>
              <w:t>序号</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17C9B20E">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招标服务要求</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6B50D3E1">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投标服务</w:t>
            </w:r>
          </w:p>
        </w:tc>
        <w:tc>
          <w:tcPr>
            <w:tcW w:w="1847" w:type="pct"/>
            <w:tcBorders>
              <w:top w:val="single" w:color="auto" w:sz="4" w:space="0"/>
              <w:left w:val="single" w:color="auto" w:sz="4" w:space="0"/>
              <w:bottom w:val="single" w:color="auto" w:sz="4" w:space="0"/>
              <w:right w:val="single" w:color="auto" w:sz="4" w:space="0"/>
            </w:tcBorders>
            <w:noWrap w:val="0"/>
            <w:vAlign w:val="center"/>
          </w:tcPr>
          <w:p w14:paraId="0E40925A">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符合/正偏离/负偏离</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145E9F9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备注</w:t>
            </w:r>
          </w:p>
        </w:tc>
      </w:tr>
      <w:tr w14:paraId="609A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42DA9205">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1</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725F5525">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6A5CBD9B">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431ACCF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47FB2FD4">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r>
      <w:tr w14:paraId="7E14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3A07474D">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2</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2CF8F7E2">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6C9D88FF">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74B9C51D">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19D98DF5">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r>
      <w:tr w14:paraId="3326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42434A93">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3</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419EE7D2">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3D9748E8">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15EB6B4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14B7D5F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r>
      <w:tr w14:paraId="1BDC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2C4BC40C">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bCs/>
                <w:sz w:val="24"/>
                <w:szCs w:val="24"/>
              </w:rPr>
            </w:pPr>
          </w:p>
        </w:tc>
        <w:tc>
          <w:tcPr>
            <w:tcW w:w="1108" w:type="pct"/>
            <w:tcBorders>
              <w:top w:val="single" w:color="auto" w:sz="4" w:space="0"/>
              <w:left w:val="single" w:color="auto" w:sz="4" w:space="0"/>
              <w:bottom w:val="single" w:color="auto" w:sz="4" w:space="0"/>
              <w:right w:val="single" w:color="auto" w:sz="4" w:space="0"/>
            </w:tcBorders>
            <w:noWrap w:val="0"/>
            <w:vAlign w:val="top"/>
          </w:tcPr>
          <w:p w14:paraId="1ECE807F">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338B78EF">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771588B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1DC92AE1">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r>
      <w:tr w14:paraId="0C6D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1C9908B9">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00F40BA4">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c>
          <w:tcPr>
            <w:tcW w:w="861" w:type="pct"/>
            <w:tcBorders>
              <w:top w:val="single" w:color="auto" w:sz="4" w:space="0"/>
              <w:left w:val="single" w:color="auto" w:sz="4" w:space="0"/>
              <w:bottom w:val="single" w:color="auto" w:sz="4" w:space="0"/>
              <w:right w:val="single" w:color="auto" w:sz="4" w:space="0"/>
            </w:tcBorders>
            <w:noWrap w:val="0"/>
            <w:vAlign w:val="top"/>
          </w:tcPr>
          <w:p w14:paraId="2086C546">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c>
          <w:tcPr>
            <w:tcW w:w="1847" w:type="pct"/>
            <w:tcBorders>
              <w:top w:val="single" w:color="auto" w:sz="4" w:space="0"/>
              <w:left w:val="single" w:color="auto" w:sz="4" w:space="0"/>
              <w:bottom w:val="single" w:color="auto" w:sz="4" w:space="0"/>
              <w:right w:val="single" w:color="auto" w:sz="4" w:space="0"/>
            </w:tcBorders>
            <w:noWrap w:val="0"/>
            <w:vAlign w:val="top"/>
          </w:tcPr>
          <w:p w14:paraId="7648A860">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c>
          <w:tcPr>
            <w:tcW w:w="615" w:type="pct"/>
            <w:tcBorders>
              <w:top w:val="single" w:color="auto" w:sz="4" w:space="0"/>
              <w:left w:val="single" w:color="auto" w:sz="4" w:space="0"/>
              <w:bottom w:val="single" w:color="auto" w:sz="4" w:space="0"/>
              <w:right w:val="single" w:color="auto" w:sz="4" w:space="0"/>
            </w:tcBorders>
            <w:noWrap w:val="0"/>
            <w:vAlign w:val="top"/>
          </w:tcPr>
          <w:p w14:paraId="543F9E2B">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r>
    </w:tbl>
    <w:p w14:paraId="339FF893">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（由投标人据实提交）</w:t>
      </w:r>
    </w:p>
    <w:p w14:paraId="45A45BFE">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sz w:val="24"/>
          <w:szCs w:val="24"/>
        </w:rPr>
      </w:pPr>
    </w:p>
    <w:p w14:paraId="041914D8">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kern w:val="0"/>
          <w:sz w:val="24"/>
          <w:szCs w:val="24"/>
          <w:lang w:bidi="ar"/>
        </w:rPr>
        <w:t>法定代表人或其授权委托人（</w:t>
      </w:r>
      <w:r>
        <w:rPr>
          <w:rFonts w:hint="eastAsia" w:asciiTheme="minorEastAsia" w:hAnsiTheme="minorEastAsia" w:eastAsiaTheme="minorEastAsia" w:cstheme="minorEastAsia"/>
          <w:kern w:val="0"/>
          <w:sz w:val="24"/>
          <w:szCs w:val="24"/>
          <w:lang w:bidi="ar"/>
        </w:rPr>
        <w:t>签字或盖章</w:t>
      </w:r>
      <w:r>
        <w:rPr>
          <w:rFonts w:hint="eastAsia" w:asciiTheme="minorEastAsia" w:hAnsiTheme="minorEastAsia" w:eastAsiaTheme="minorEastAsia" w:cstheme="minorEastAsia"/>
          <w:bCs/>
          <w:kern w:val="0"/>
          <w:sz w:val="24"/>
          <w:szCs w:val="24"/>
          <w:lang w:bidi="ar"/>
        </w:rPr>
        <w:t>）：</w:t>
      </w:r>
    </w:p>
    <w:p w14:paraId="18FD5637">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填写说明：</w:t>
      </w:r>
    </w:p>
    <w:p w14:paraId="629FBAB5">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1、投标人应当根据询比采购文件</w:t>
      </w:r>
      <w:r>
        <w:rPr>
          <w:rFonts w:hint="eastAsia" w:asciiTheme="minorEastAsia" w:hAnsiTheme="minorEastAsia" w:eastAsiaTheme="minorEastAsia" w:cstheme="minorEastAsia"/>
          <w:sz w:val="24"/>
          <w:szCs w:val="24"/>
          <w:lang w:bidi="ar"/>
        </w:rPr>
        <w:t>技术规格及要求</w:t>
      </w:r>
      <w:r>
        <w:rPr>
          <w:rFonts w:hint="eastAsia" w:asciiTheme="minorEastAsia" w:hAnsiTheme="minorEastAsia" w:eastAsiaTheme="minorEastAsia" w:cstheme="minorEastAsia"/>
          <w:bCs/>
          <w:kern w:val="0"/>
          <w:sz w:val="24"/>
          <w:szCs w:val="24"/>
          <w:lang w:bidi="ar"/>
        </w:rPr>
        <w:t>各项需求的内容填报技术参数响应及偏离表。</w:t>
      </w:r>
    </w:p>
    <w:p w14:paraId="7278307D">
      <w:pPr>
        <w:pageBreakBefore w:val="0"/>
        <w:widowControl/>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b/>
          <w:kern w:val="0"/>
          <w:sz w:val="24"/>
          <w:szCs w:val="24"/>
          <w:lang w:bidi="ar"/>
        </w:rPr>
      </w:pPr>
      <w:r>
        <w:rPr>
          <w:rFonts w:hint="eastAsia" w:asciiTheme="minorEastAsia" w:hAnsiTheme="minorEastAsia" w:eastAsiaTheme="minorEastAsia" w:cstheme="minorEastAsia"/>
          <w:b/>
          <w:kern w:val="0"/>
          <w:sz w:val="24"/>
          <w:szCs w:val="24"/>
          <w:lang w:bidi="ar"/>
        </w:rPr>
        <w:t>2、投标人未提供该表或提供该表但注明技术参数响应有负偏离情况的，视为无效投标。</w:t>
      </w:r>
    </w:p>
    <w:p w14:paraId="5EF2F0DD">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r>
        <w:rPr>
          <w:rFonts w:hint="eastAsia" w:asciiTheme="minorEastAsia" w:hAnsiTheme="minorEastAsia" w:eastAsiaTheme="minorEastAsia" w:cstheme="minorEastAsia"/>
          <w:color w:val="000000"/>
          <w:sz w:val="24"/>
          <w:szCs w:val="24"/>
        </w:rPr>
        <w:br w:type="page"/>
      </w:r>
      <w:bookmarkStart w:id="54" w:name="_Toc3499"/>
      <w:r>
        <w:rPr>
          <w:rFonts w:hint="eastAsia"/>
          <w:color w:val="000000"/>
          <w:sz w:val="24"/>
          <w:szCs w:val="24"/>
        </w:rPr>
        <w:t>供应商基本情况表格式</w:t>
      </w:r>
      <w:bookmarkEnd w:id="54"/>
    </w:p>
    <w:p w14:paraId="7EB0E655">
      <w:pPr>
        <w:pageBreakBefore w:val="0"/>
        <w:kinsoku/>
        <w:wordWrap/>
        <w:overflowPunct/>
        <w:topLinePunct w:val="0"/>
        <w:autoSpaceDE/>
        <w:autoSpaceDN/>
        <w:bidi w:val="0"/>
        <w:adjustRightInd/>
        <w:snapToGrid/>
        <w:spacing w:line="560" w:lineRule="exact"/>
        <w:ind w:firstLine="437"/>
        <w:textAlignment w:val="auto"/>
        <w:rPr>
          <w:rFonts w:hint="eastAsia"/>
          <w:color w:val="000000"/>
          <w:sz w:val="24"/>
          <w:szCs w:val="24"/>
        </w:rPr>
      </w:pPr>
    </w:p>
    <w:p w14:paraId="6C685C4F">
      <w:pPr>
        <w:pageBreakBefore w:val="0"/>
        <w:kinsoku/>
        <w:wordWrap/>
        <w:overflowPunct/>
        <w:topLinePunct w:val="0"/>
        <w:autoSpaceDE/>
        <w:autoSpaceDN/>
        <w:bidi w:val="0"/>
        <w:adjustRightInd/>
        <w:snapToGrid/>
        <w:spacing w:line="560" w:lineRule="exact"/>
        <w:ind w:firstLine="437"/>
        <w:jc w:val="center"/>
        <w:textAlignment w:val="auto"/>
        <w:rPr>
          <w:rFonts w:hint="eastAsia"/>
          <w:b/>
          <w:color w:val="000000"/>
          <w:sz w:val="24"/>
          <w:szCs w:val="24"/>
        </w:rPr>
      </w:pPr>
      <w:r>
        <w:rPr>
          <w:rFonts w:hint="eastAsia"/>
          <w:b/>
          <w:color w:val="000000"/>
          <w:sz w:val="24"/>
          <w:szCs w:val="24"/>
        </w:rPr>
        <w:t>供应商基本情况表</w:t>
      </w:r>
    </w:p>
    <w:p w14:paraId="6CDDDB66">
      <w:pPr>
        <w:pageBreakBefore w:val="0"/>
        <w:widowControl/>
        <w:kinsoku/>
        <w:wordWrap/>
        <w:overflowPunct/>
        <w:topLinePunct w:val="0"/>
        <w:autoSpaceDE/>
        <w:autoSpaceDN/>
        <w:bidi w:val="0"/>
        <w:adjustRightInd/>
        <w:snapToGrid/>
        <w:spacing w:line="560" w:lineRule="exact"/>
        <w:ind w:firstLine="482" w:firstLineChars="200"/>
        <w:jc w:val="left"/>
        <w:textAlignment w:val="auto"/>
        <w:rPr>
          <w:rFonts w:hint="eastAsia" w:ascii="宋体" w:cs="宋体"/>
          <w:b/>
          <w:sz w:val="24"/>
          <w:szCs w:val="24"/>
        </w:rPr>
      </w:pPr>
      <w:r>
        <w:rPr>
          <w:rFonts w:hint="eastAsia" w:ascii="宋体" w:hAnsi="宋体" w:cs="宋体"/>
          <w:b/>
          <w:kern w:val="0"/>
          <w:sz w:val="24"/>
          <w:szCs w:val="24"/>
          <w:lang w:bidi="ar"/>
        </w:rPr>
        <w:t>一、名称和概况：</w:t>
      </w:r>
    </w:p>
    <w:p w14:paraId="1FB25E21">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1.投标人名称：</w:t>
      </w:r>
    </w:p>
    <w:p w14:paraId="69DF659D">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2.单位地址：</w:t>
      </w:r>
    </w:p>
    <w:p w14:paraId="0510E0A6">
      <w:pPr>
        <w:pageBreakBefore w:val="0"/>
        <w:widowControl/>
        <w:tabs>
          <w:tab w:val="left" w:pos="2282"/>
        </w:tabs>
        <w:kinsoku/>
        <w:wordWrap/>
        <w:overflowPunct/>
        <w:topLinePunct w:val="0"/>
        <w:autoSpaceDE/>
        <w:autoSpaceDN/>
        <w:bidi w:val="0"/>
        <w:adjustRightInd/>
        <w:snapToGrid/>
        <w:spacing w:line="560" w:lineRule="exact"/>
        <w:ind w:firstLine="720" w:firstLineChars="3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邮编：</w:t>
      </w:r>
    </w:p>
    <w:p w14:paraId="7A6A8377">
      <w:pPr>
        <w:pageBreakBefore w:val="0"/>
        <w:widowControl/>
        <w:tabs>
          <w:tab w:val="left" w:pos="2282"/>
        </w:tabs>
        <w:kinsoku/>
        <w:wordWrap/>
        <w:overflowPunct/>
        <w:topLinePunct w:val="0"/>
        <w:autoSpaceDE/>
        <w:autoSpaceDN/>
        <w:bidi w:val="0"/>
        <w:adjustRightInd/>
        <w:snapToGrid/>
        <w:spacing w:line="560" w:lineRule="exact"/>
        <w:ind w:firstLine="720" w:firstLineChars="3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传真/电话：</w:t>
      </w:r>
    </w:p>
    <w:p w14:paraId="4A24B524">
      <w:pPr>
        <w:pageBreakBefore w:val="0"/>
        <w:widowControl/>
        <w:tabs>
          <w:tab w:val="left" w:pos="2282"/>
        </w:tabs>
        <w:kinsoku/>
        <w:wordWrap/>
        <w:overflowPunct/>
        <w:topLinePunct w:val="0"/>
        <w:autoSpaceDE/>
        <w:autoSpaceDN/>
        <w:bidi w:val="0"/>
        <w:adjustRightInd/>
        <w:snapToGrid/>
        <w:spacing w:line="560" w:lineRule="exact"/>
        <w:ind w:firstLine="480" w:firstLineChars="200"/>
        <w:jc w:val="left"/>
        <w:textAlignment w:val="auto"/>
        <w:rPr>
          <w:rFonts w:hint="eastAsia" w:ascii="宋体" w:eastAsia="宋体" w:cs="宋体"/>
          <w:sz w:val="24"/>
          <w:szCs w:val="24"/>
          <w:u w:val="single"/>
          <w:lang w:eastAsia="zh-CN"/>
        </w:rPr>
      </w:pPr>
      <w:r>
        <w:rPr>
          <w:rFonts w:hint="eastAsia" w:ascii="宋体" w:hAnsi="宋体" w:cs="宋体"/>
          <w:bCs/>
          <w:kern w:val="0"/>
          <w:sz w:val="24"/>
          <w:szCs w:val="24"/>
          <w:lang w:bidi="ar"/>
        </w:rPr>
        <w:t>3.成立日期或注册日期：</w:t>
      </w:r>
    </w:p>
    <w:p w14:paraId="6CA20992">
      <w:pPr>
        <w:pageBreakBefore w:val="0"/>
        <w:widowControl/>
        <w:tabs>
          <w:tab w:val="left" w:pos="2282"/>
        </w:tabs>
        <w:kinsoku/>
        <w:wordWrap/>
        <w:overflowPunct/>
        <w:topLinePunct w:val="0"/>
        <w:autoSpaceDE/>
        <w:autoSpaceDN/>
        <w:bidi w:val="0"/>
        <w:adjustRightInd/>
        <w:snapToGrid/>
        <w:spacing w:line="560" w:lineRule="exact"/>
        <w:ind w:firstLine="480" w:firstLineChars="2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4.投标人法定代表人名称：</w:t>
      </w:r>
    </w:p>
    <w:p w14:paraId="0583DC65">
      <w:pPr>
        <w:pageBreakBefore w:val="0"/>
        <w:widowControl/>
        <w:tabs>
          <w:tab w:val="left" w:pos="2282"/>
        </w:tabs>
        <w:kinsoku/>
        <w:wordWrap/>
        <w:overflowPunct/>
        <w:topLinePunct w:val="0"/>
        <w:autoSpaceDE/>
        <w:autoSpaceDN/>
        <w:bidi w:val="0"/>
        <w:adjustRightInd/>
        <w:snapToGrid/>
        <w:spacing w:line="560" w:lineRule="exact"/>
        <w:ind w:firstLine="480"/>
        <w:jc w:val="left"/>
        <w:textAlignment w:val="auto"/>
        <w:rPr>
          <w:rFonts w:hint="eastAsia" w:ascii="宋体" w:cs="宋体"/>
          <w:bCs/>
          <w:sz w:val="24"/>
          <w:szCs w:val="24"/>
        </w:rPr>
      </w:pPr>
      <w:r>
        <w:rPr>
          <w:rFonts w:hint="eastAsia" w:ascii="宋体" w:hAnsi="宋体" w:cs="宋体"/>
          <w:bCs/>
          <w:kern w:val="0"/>
          <w:sz w:val="24"/>
          <w:szCs w:val="24"/>
          <w:lang w:bidi="ar"/>
        </w:rPr>
        <w:t>就我方所知，兹证明上述声明是真实、正确的，并已提供了全部现有资料和数据，我方同意根据贵方要求出示文件予以证实。</w:t>
      </w:r>
    </w:p>
    <w:p w14:paraId="256DF88F">
      <w:pPr>
        <w:pageBreakBefore w:val="0"/>
        <w:widowControl/>
        <w:kinsoku/>
        <w:wordWrap/>
        <w:overflowPunct/>
        <w:topLinePunct w:val="0"/>
        <w:autoSpaceDE/>
        <w:autoSpaceDN/>
        <w:bidi w:val="0"/>
        <w:adjustRightInd/>
        <w:snapToGrid/>
        <w:spacing w:line="560" w:lineRule="exact"/>
        <w:jc w:val="left"/>
        <w:textAlignment w:val="auto"/>
        <w:rPr>
          <w:rFonts w:hint="eastAsia" w:ascii="宋体" w:cs="宋体"/>
          <w:sz w:val="24"/>
          <w:szCs w:val="24"/>
        </w:rPr>
      </w:pPr>
      <w:r>
        <w:rPr>
          <w:rFonts w:hint="eastAsia" w:ascii="宋体" w:hAnsi="宋体" w:cs="宋体"/>
          <w:kern w:val="0"/>
          <w:sz w:val="24"/>
          <w:szCs w:val="24"/>
          <w:lang w:bidi="ar"/>
        </w:rPr>
        <w:t>投标人名称：（加盖公章）</w:t>
      </w:r>
    </w:p>
    <w:p w14:paraId="11754CAD">
      <w:pPr>
        <w:pageBreakBefore w:val="0"/>
        <w:widowControl/>
        <w:kinsoku/>
        <w:wordWrap/>
        <w:overflowPunct/>
        <w:topLinePunct w:val="0"/>
        <w:autoSpaceDE/>
        <w:autoSpaceDN/>
        <w:bidi w:val="0"/>
        <w:adjustRightInd/>
        <w:snapToGrid/>
        <w:spacing w:line="560" w:lineRule="exact"/>
        <w:jc w:val="left"/>
        <w:textAlignment w:val="auto"/>
        <w:rPr>
          <w:rFonts w:hint="eastAsia" w:ascii="宋体" w:cs="宋体"/>
          <w:bCs/>
          <w:sz w:val="24"/>
          <w:szCs w:val="24"/>
        </w:rPr>
      </w:pPr>
      <w:r>
        <w:rPr>
          <w:rFonts w:hint="eastAsia" w:ascii="宋体" w:hAnsi="宋体" w:cs="宋体"/>
          <w:kern w:val="0"/>
          <w:sz w:val="24"/>
          <w:szCs w:val="24"/>
          <w:lang w:bidi="ar"/>
        </w:rPr>
        <w:t>法定代表人或授权代理人：（签字或盖章）</w:t>
      </w:r>
    </w:p>
    <w:p w14:paraId="4A07CF36">
      <w:pPr>
        <w:pageBreakBefore w:val="0"/>
        <w:tabs>
          <w:tab w:val="left" w:pos="2282"/>
        </w:tabs>
        <w:kinsoku/>
        <w:wordWrap/>
        <w:overflowPunct/>
        <w:topLinePunct w:val="0"/>
        <w:autoSpaceDE/>
        <w:autoSpaceDN/>
        <w:bidi w:val="0"/>
        <w:adjustRightInd/>
        <w:snapToGrid/>
        <w:spacing w:line="560" w:lineRule="exact"/>
        <w:ind w:firstLine="482" w:firstLineChars="200"/>
        <w:textAlignment w:val="auto"/>
        <w:rPr>
          <w:rFonts w:hint="eastAsia" w:ascii="宋体" w:hAnsi="宋体"/>
          <w:bCs/>
          <w:color w:val="000000"/>
          <w:sz w:val="24"/>
          <w:szCs w:val="24"/>
        </w:rPr>
      </w:pPr>
      <w:r>
        <w:rPr>
          <w:rFonts w:hint="eastAsia" w:ascii="宋体" w:hAnsi="宋体"/>
          <w:b/>
          <w:sz w:val="24"/>
          <w:szCs w:val="24"/>
          <w:lang w:bidi="ar"/>
        </w:rPr>
        <w:t>二、投标单位简要说明</w:t>
      </w:r>
    </w:p>
    <w:p w14:paraId="7DDBBBE7">
      <w:pPr>
        <w:pageBreakBefore w:val="0"/>
        <w:tabs>
          <w:tab w:val="left" w:pos="2282"/>
        </w:tabs>
        <w:kinsoku/>
        <w:wordWrap/>
        <w:overflowPunct/>
        <w:topLinePunct w:val="0"/>
        <w:autoSpaceDE/>
        <w:autoSpaceDN/>
        <w:bidi w:val="0"/>
        <w:adjustRightInd/>
        <w:snapToGrid/>
        <w:spacing w:line="560" w:lineRule="exact"/>
        <w:ind w:firstLine="480" w:firstLineChars="200"/>
        <w:textAlignment w:val="auto"/>
        <w:rPr>
          <w:rFonts w:hint="eastAsia" w:ascii="宋体" w:hAnsi="宋体"/>
          <w:bCs/>
          <w:color w:val="000000"/>
          <w:sz w:val="24"/>
          <w:szCs w:val="24"/>
        </w:rPr>
      </w:pPr>
      <w:r>
        <w:rPr>
          <w:rFonts w:hint="eastAsia" w:ascii="宋体" w:hAnsi="宋体"/>
          <w:bCs/>
          <w:color w:val="000000"/>
          <w:sz w:val="24"/>
          <w:szCs w:val="24"/>
        </w:rPr>
        <w:t>1.供应商基本情况。包括地理位置、营业面积、企业性质、组织结构等。</w:t>
      </w:r>
    </w:p>
    <w:p w14:paraId="629AEE5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2.供应商经营情况。</w:t>
      </w:r>
    </w:p>
    <w:p w14:paraId="4888C22B">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3.供应商认为有必要说明的问题（如有时）。</w:t>
      </w:r>
    </w:p>
    <w:p w14:paraId="5058A2E3">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（由供应商按以上要求表述）</w:t>
      </w:r>
    </w:p>
    <w:p w14:paraId="5B38D1A6">
      <w:pPr>
        <w:pageBreakBefore w:val="0"/>
        <w:kinsoku/>
        <w:wordWrap/>
        <w:overflowPunct/>
        <w:topLinePunct w:val="0"/>
        <w:autoSpaceDE/>
        <w:autoSpaceDN/>
        <w:bidi w:val="0"/>
        <w:adjustRightInd/>
        <w:snapToGrid/>
        <w:spacing w:line="560" w:lineRule="exact"/>
        <w:jc w:val="left"/>
        <w:textAlignment w:val="auto"/>
        <w:outlineLvl w:val="9"/>
        <w:rPr>
          <w:rFonts w:hint="eastAsia" w:ascii="宋体" w:hAnsi="宋体"/>
          <w:color w:val="000000"/>
          <w:sz w:val="24"/>
          <w:szCs w:val="24"/>
        </w:rPr>
      </w:pPr>
    </w:p>
    <w:p w14:paraId="0DF2BA30">
      <w:pPr>
        <w:pageBreakBefore w:val="0"/>
        <w:kinsoku/>
        <w:wordWrap/>
        <w:overflowPunct/>
        <w:topLinePunct w:val="0"/>
        <w:autoSpaceDE/>
        <w:autoSpaceDN/>
        <w:bidi w:val="0"/>
        <w:adjustRightInd/>
        <w:snapToGrid/>
        <w:spacing w:line="560" w:lineRule="exact"/>
        <w:jc w:val="both"/>
        <w:textAlignment w:val="auto"/>
        <w:outlineLvl w:val="9"/>
        <w:rPr>
          <w:rFonts w:hint="eastAsia"/>
          <w:sz w:val="24"/>
          <w:szCs w:val="24"/>
        </w:rPr>
      </w:pPr>
    </w:p>
    <w:p w14:paraId="0C82F929">
      <w:pPr>
        <w:pageBreakBefore w:val="0"/>
        <w:kinsoku/>
        <w:wordWrap/>
        <w:overflowPunct/>
        <w:topLinePunct w:val="0"/>
        <w:autoSpaceDE/>
        <w:autoSpaceDN/>
        <w:bidi w:val="0"/>
        <w:adjustRightInd/>
        <w:snapToGrid/>
        <w:spacing w:line="560" w:lineRule="exact"/>
        <w:textAlignment w:val="auto"/>
        <w:outlineLvl w:val="9"/>
        <w:rPr>
          <w:rFonts w:hint="eastAsia"/>
          <w:sz w:val="24"/>
          <w:szCs w:val="24"/>
        </w:rPr>
      </w:pPr>
    </w:p>
    <w:p w14:paraId="0CF11F26">
      <w:pPr>
        <w:pageBreakBefore w:val="0"/>
        <w:kinsoku/>
        <w:wordWrap/>
        <w:overflowPunct/>
        <w:topLinePunct w:val="0"/>
        <w:autoSpaceDE/>
        <w:autoSpaceDN/>
        <w:bidi w:val="0"/>
        <w:adjustRightInd/>
        <w:snapToGrid/>
        <w:spacing w:line="560" w:lineRule="exact"/>
        <w:textAlignment w:val="auto"/>
        <w:outlineLvl w:val="9"/>
        <w:rPr>
          <w:rFonts w:hint="eastAsia"/>
          <w:sz w:val="24"/>
          <w:szCs w:val="24"/>
        </w:rPr>
      </w:pPr>
    </w:p>
    <w:p w14:paraId="0905F496">
      <w:pPr>
        <w:pStyle w:val="12"/>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lang w:eastAsia="zh-CN"/>
        </w:rPr>
      </w:pPr>
    </w:p>
    <w:p w14:paraId="69FB293B">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bookmarkStart w:id="55" w:name="_Toc21847"/>
      <w:r>
        <w:rPr>
          <w:rFonts w:hint="eastAsia"/>
          <w:color w:val="000000"/>
          <w:sz w:val="24"/>
          <w:szCs w:val="24"/>
        </w:rPr>
        <w:t>项目实施方案</w:t>
      </w:r>
      <w:bookmarkEnd w:id="55"/>
    </w:p>
    <w:p w14:paraId="78CCBF28">
      <w:pPr>
        <w:pageBreakBefore w:val="0"/>
        <w:kinsoku/>
        <w:wordWrap/>
        <w:overflowPunct/>
        <w:topLinePunct w:val="0"/>
        <w:autoSpaceDE/>
        <w:autoSpaceDN/>
        <w:bidi w:val="0"/>
        <w:adjustRightInd/>
        <w:snapToGrid/>
        <w:spacing w:line="560" w:lineRule="exact"/>
        <w:ind w:firstLine="480"/>
        <w:textAlignment w:val="auto"/>
        <w:rPr>
          <w:rFonts w:hint="eastAsia"/>
          <w:color w:val="000000"/>
          <w:sz w:val="24"/>
          <w:szCs w:val="24"/>
          <w:u w:val="single"/>
        </w:rPr>
      </w:pPr>
    </w:p>
    <w:p w14:paraId="678CF4BD">
      <w:pPr>
        <w:pageBreakBefore w:val="0"/>
        <w:kinsoku/>
        <w:wordWrap/>
        <w:overflowPunct/>
        <w:topLinePunct w:val="0"/>
        <w:autoSpaceDE/>
        <w:autoSpaceDN/>
        <w:bidi w:val="0"/>
        <w:adjustRightInd/>
        <w:snapToGrid/>
        <w:spacing w:line="560" w:lineRule="exact"/>
        <w:ind w:firstLine="437"/>
        <w:jc w:val="center"/>
        <w:textAlignment w:val="auto"/>
        <w:rPr>
          <w:rFonts w:hint="eastAsia"/>
          <w:b/>
          <w:color w:val="000000"/>
          <w:sz w:val="24"/>
          <w:szCs w:val="24"/>
        </w:rPr>
      </w:pPr>
      <w:r>
        <w:rPr>
          <w:rFonts w:hint="eastAsia"/>
          <w:b/>
          <w:color w:val="000000"/>
          <w:sz w:val="24"/>
          <w:szCs w:val="24"/>
        </w:rPr>
        <w:t>项目实施方案</w:t>
      </w:r>
    </w:p>
    <w:p w14:paraId="4184D413">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kern w:val="0"/>
          <w:sz w:val="24"/>
          <w:szCs w:val="24"/>
          <w:highlight w:val="none"/>
        </w:rPr>
      </w:pPr>
      <w:r>
        <w:rPr>
          <w:rFonts w:hint="eastAsia" w:ascii="宋体" w:hAnsi="宋体"/>
          <w:color w:val="000000"/>
          <w:kern w:val="0"/>
          <w:sz w:val="24"/>
          <w:szCs w:val="24"/>
          <w:highlight w:val="none"/>
        </w:rPr>
        <w:t>由</w:t>
      </w:r>
      <w:r>
        <w:rPr>
          <w:rFonts w:hint="eastAsia" w:ascii="宋体" w:hAnsi="宋体"/>
          <w:color w:val="000000"/>
          <w:sz w:val="24"/>
          <w:szCs w:val="24"/>
          <w:highlight w:val="none"/>
        </w:rPr>
        <w:t>供应商</w:t>
      </w:r>
      <w:r>
        <w:rPr>
          <w:rFonts w:hint="eastAsia" w:ascii="宋体" w:hAnsi="宋体"/>
          <w:color w:val="000000"/>
          <w:kern w:val="0"/>
          <w:sz w:val="24"/>
          <w:szCs w:val="24"/>
          <w:highlight w:val="none"/>
        </w:rPr>
        <w:t>编制的项目实施方案将作为评标的主要考虑因素。</w:t>
      </w:r>
      <w:r>
        <w:rPr>
          <w:rFonts w:hint="eastAsia" w:ascii="宋体" w:hAnsi="宋体"/>
          <w:color w:val="000000"/>
          <w:sz w:val="24"/>
          <w:szCs w:val="24"/>
          <w:highlight w:val="none"/>
        </w:rPr>
        <w:t>供应商</w:t>
      </w:r>
      <w:r>
        <w:rPr>
          <w:rFonts w:hint="eastAsia" w:ascii="宋体" w:hAnsi="宋体"/>
          <w:color w:val="000000"/>
          <w:kern w:val="0"/>
          <w:sz w:val="24"/>
          <w:szCs w:val="24"/>
          <w:highlight w:val="none"/>
        </w:rPr>
        <w:t>如果一旦中标，应按其在项目实施方案中的承诺安排各阶段工作的实施。包括但不限于：</w:t>
      </w:r>
    </w:p>
    <w:p w14:paraId="7AD78731">
      <w:pPr>
        <w:pageBreakBefore w:val="0"/>
        <w:numPr>
          <w:ilvl w:val="0"/>
          <w:numId w:val="2"/>
        </w:numPr>
        <w:kinsoku/>
        <w:wordWrap/>
        <w:overflowPunct/>
        <w:topLinePunct w:val="0"/>
        <w:autoSpaceDE/>
        <w:autoSpaceDN/>
        <w:bidi w:val="0"/>
        <w:adjustRightInd/>
        <w:snapToGrid/>
        <w:spacing w:line="560" w:lineRule="exact"/>
        <w:ind w:firstLine="480" w:firstLineChars="200"/>
        <w:textAlignment w:val="auto"/>
        <w:rPr>
          <w:rFonts w:hint="eastAsia"/>
          <w:color w:val="000000"/>
          <w:sz w:val="24"/>
          <w:szCs w:val="24"/>
          <w:highlight w:val="none"/>
        </w:rPr>
      </w:pPr>
      <w:r>
        <w:rPr>
          <w:rFonts w:ascii="Segoe UI Emoji" w:hAnsi="Segoe UI Emoji" w:eastAsia="Segoe UI Emoji" w:cs="Segoe UI Emoji"/>
          <w:i w:val="0"/>
          <w:iCs w:val="0"/>
          <w:caps w:val="0"/>
          <w:color w:val="1F2329"/>
          <w:spacing w:val="0"/>
          <w:sz w:val="24"/>
          <w:szCs w:val="24"/>
          <w:highlight w:val="none"/>
          <w:shd w:val="clear" w:fill="FFFFFF"/>
        </w:rPr>
        <w:t>项目实施方案及措施：明确安全保卫服务范围（如区域巡逻、门禁管理、监控值守等）、作业频次（如巡逻时段/频次）、人员/装备配置（如安保人员数量、防护装备、通讯设备等）、作业流程及服务质量验收标准</w:t>
      </w:r>
      <w:r>
        <w:rPr>
          <w:rFonts w:hint="eastAsia" w:ascii="Segoe UI Emoji" w:hAnsi="Segoe UI Emoji" w:eastAsia="宋体" w:cs="Segoe UI Emoji"/>
          <w:i w:val="0"/>
          <w:iCs w:val="0"/>
          <w:caps w:val="0"/>
          <w:color w:val="1F2329"/>
          <w:spacing w:val="0"/>
          <w:sz w:val="24"/>
          <w:szCs w:val="24"/>
          <w:highlight w:val="none"/>
          <w:shd w:val="clear" w:fill="FFFFFF"/>
          <w:lang w:eastAsia="zh-CN"/>
        </w:rPr>
        <w:t>；</w:t>
      </w:r>
    </w:p>
    <w:p w14:paraId="5160450A">
      <w:pPr>
        <w:pageBreakBefore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Fonts w:hint="eastAsia" w:ascii="Segoe UI Emoji" w:hAnsi="Segoe UI Emoji" w:eastAsia="宋体" w:cs="Segoe UI Emoji"/>
          <w:i w:val="0"/>
          <w:iCs w:val="0"/>
          <w:caps w:val="0"/>
          <w:color w:val="1F2329"/>
          <w:spacing w:val="0"/>
          <w:sz w:val="24"/>
          <w:szCs w:val="24"/>
          <w:highlight w:val="none"/>
          <w:shd w:val="clear" w:fill="FFFFFF"/>
          <w:lang w:eastAsia="zh-CN"/>
        </w:rPr>
      </w:pPr>
      <w:r>
        <w:rPr>
          <w:rFonts w:ascii="Segoe UI Emoji" w:hAnsi="Segoe UI Emoji" w:eastAsia="Segoe UI Emoji" w:cs="Segoe UI Emoji"/>
          <w:i w:val="0"/>
          <w:iCs w:val="0"/>
          <w:caps w:val="0"/>
          <w:color w:val="1F2329"/>
          <w:spacing w:val="0"/>
          <w:sz w:val="24"/>
          <w:szCs w:val="24"/>
          <w:highlight w:val="none"/>
          <w:shd w:val="clear" w:fill="FFFFFF"/>
        </w:rPr>
        <w:t>安保作业安全运行保障方案及措施：涵盖人员防护（如执勤安全防护）、场所/设施保护（如重点区域防护）、合规管理（如安保流程符合治安规范）、应急处置（如突发事件、冲突处理）及安全责任划分</w:t>
      </w:r>
      <w:r>
        <w:rPr>
          <w:rFonts w:hint="eastAsia" w:ascii="Segoe UI Emoji" w:hAnsi="Segoe UI Emoji" w:eastAsia="宋体" w:cs="Segoe UI Emoji"/>
          <w:i w:val="0"/>
          <w:iCs w:val="0"/>
          <w:caps w:val="0"/>
          <w:color w:val="1F2329"/>
          <w:spacing w:val="0"/>
          <w:sz w:val="24"/>
          <w:szCs w:val="24"/>
          <w:highlight w:val="none"/>
          <w:shd w:val="clear" w:fill="FFFFFF"/>
          <w:lang w:eastAsia="zh-CN"/>
        </w:rPr>
        <w:t>；</w:t>
      </w:r>
    </w:p>
    <w:p w14:paraId="4D47C4EF">
      <w:pPr>
        <w:pageBreakBefore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Fonts w:hint="eastAsia"/>
          <w:color w:val="000000"/>
          <w:sz w:val="24"/>
          <w:szCs w:val="24"/>
          <w:highlight w:val="none"/>
        </w:rPr>
      </w:pPr>
      <w:r>
        <w:rPr>
          <w:rFonts w:ascii="Segoe UI Emoji" w:hAnsi="Segoe UI Emoji" w:eastAsia="Segoe UI Emoji" w:cs="Segoe UI Emoji"/>
          <w:i w:val="0"/>
          <w:iCs w:val="0"/>
          <w:caps w:val="0"/>
          <w:color w:val="1F2329"/>
          <w:spacing w:val="0"/>
          <w:sz w:val="24"/>
          <w:szCs w:val="24"/>
          <w:highlight w:val="none"/>
          <w:shd w:val="clear" w:fill="FFFFFF"/>
        </w:rPr>
        <w:t>售后服务方案及措施：明确响应时限（如紧急情况响应时长）、投诉处理、服务质量监督、需求调整（如安保区域调整）及沟通反馈机制；</w:t>
      </w:r>
    </w:p>
    <w:p w14:paraId="71F289BE">
      <w:pPr>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color w:val="000000"/>
          <w:sz w:val="24"/>
          <w:szCs w:val="24"/>
        </w:rPr>
      </w:pPr>
      <w:r>
        <w:rPr>
          <w:rFonts w:hint="eastAsia" w:ascii="Segoe UI Emoji" w:hAnsi="Segoe UI Emoji" w:eastAsia="宋体" w:cs="Segoe UI Emoji"/>
          <w:i w:val="0"/>
          <w:iCs w:val="0"/>
          <w:caps w:val="0"/>
          <w:color w:val="1F2329"/>
          <w:spacing w:val="0"/>
          <w:sz w:val="24"/>
          <w:szCs w:val="24"/>
          <w:highlight w:val="none"/>
          <w:shd w:val="clear" w:fill="FFFFFF"/>
          <w:lang w:eastAsia="zh-CN"/>
        </w:rPr>
        <w:t>（</w:t>
      </w:r>
      <w:r>
        <w:rPr>
          <w:rFonts w:hint="eastAsia" w:ascii="Segoe UI Emoji" w:hAnsi="Segoe UI Emoji" w:eastAsia="宋体" w:cs="Segoe UI Emoji"/>
          <w:i w:val="0"/>
          <w:iCs w:val="0"/>
          <w:caps w:val="0"/>
          <w:color w:val="1F2329"/>
          <w:spacing w:val="0"/>
          <w:sz w:val="24"/>
          <w:szCs w:val="24"/>
          <w:highlight w:val="none"/>
          <w:shd w:val="clear" w:fill="FFFFFF"/>
          <w:lang w:val="en-US" w:eastAsia="zh-CN"/>
        </w:rPr>
        <w:t>4</w:t>
      </w:r>
      <w:r>
        <w:rPr>
          <w:rFonts w:hint="eastAsia" w:ascii="Segoe UI Emoji" w:hAnsi="Segoe UI Emoji" w:eastAsia="宋体" w:cs="Segoe UI Emoji"/>
          <w:i w:val="0"/>
          <w:iCs w:val="0"/>
          <w:caps w:val="0"/>
          <w:color w:val="1F2329"/>
          <w:spacing w:val="0"/>
          <w:sz w:val="24"/>
          <w:szCs w:val="24"/>
          <w:highlight w:val="none"/>
          <w:shd w:val="clear" w:fill="FFFFFF"/>
          <w:lang w:eastAsia="zh-CN"/>
        </w:rPr>
        <w:t>）</w:t>
      </w:r>
      <w:r>
        <w:rPr>
          <w:rFonts w:ascii="Segoe UI Emoji" w:hAnsi="Segoe UI Emoji" w:eastAsia="Segoe UI Emoji" w:cs="Segoe UI Emoji"/>
          <w:i w:val="0"/>
          <w:iCs w:val="0"/>
          <w:caps w:val="0"/>
          <w:color w:val="1F2329"/>
          <w:spacing w:val="0"/>
          <w:sz w:val="24"/>
          <w:szCs w:val="24"/>
          <w:highlight w:val="none"/>
          <w:shd w:val="clear" w:fill="FFFFFF"/>
        </w:rPr>
        <w:t xml:space="preserve">驻场安保方案及措施：确定驻场安保人员配置、岗位职责（如门岗值守、巡逻岗职责）、日常管理（如考勤、交接班流程）、装备维保及与甲方的协调对接流程。 </w:t>
      </w:r>
      <w:r>
        <w:rPr>
          <w:rFonts w:hint="eastAsia" w:ascii="宋体" w:hAnsi="宋体"/>
          <w:color w:val="000000"/>
          <w:kern w:val="0"/>
          <w:sz w:val="24"/>
          <w:szCs w:val="24"/>
          <w:highlight w:val="red"/>
        </w:rPr>
        <w:br w:type="page"/>
      </w:r>
      <w:bookmarkStart w:id="56" w:name="_Toc26989"/>
      <w:r>
        <w:rPr>
          <w:rFonts w:hint="eastAsia"/>
          <w:color w:val="000000"/>
          <w:sz w:val="24"/>
          <w:szCs w:val="24"/>
        </w:rPr>
        <w:t>其它格式</w:t>
      </w:r>
      <w:bookmarkEnd w:id="56"/>
    </w:p>
    <w:p w14:paraId="6F2AAD64">
      <w:pPr>
        <w:pageBreakBefore w:val="0"/>
        <w:kinsoku/>
        <w:wordWrap/>
        <w:overflowPunct/>
        <w:topLinePunct w:val="0"/>
        <w:autoSpaceDE/>
        <w:autoSpaceDN/>
        <w:bidi w:val="0"/>
        <w:adjustRightInd/>
        <w:snapToGrid/>
        <w:spacing w:line="560" w:lineRule="exact"/>
        <w:jc w:val="center"/>
        <w:textAlignment w:val="auto"/>
        <w:rPr>
          <w:rFonts w:hint="eastAsia" w:ascii="宋体" w:hAnsi="宋体"/>
          <w:color w:val="000000"/>
          <w:sz w:val="24"/>
          <w:szCs w:val="24"/>
        </w:rPr>
      </w:pPr>
      <w:r>
        <w:rPr>
          <w:rFonts w:hint="eastAsia" w:ascii="宋体" w:hAnsi="宋体"/>
          <w:b/>
          <w:color w:val="000000"/>
          <w:sz w:val="24"/>
          <w:szCs w:val="24"/>
        </w:rPr>
        <w:t>其它（如有时）</w:t>
      </w:r>
    </w:p>
    <w:p w14:paraId="1341DBD9">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1E020E22">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2AA85403">
      <w:pPr>
        <w:pageBreakBefore w:val="0"/>
        <w:kinsoku/>
        <w:wordWrap/>
        <w:overflowPunct/>
        <w:topLinePunct w:val="0"/>
        <w:autoSpaceDE/>
        <w:autoSpaceDN/>
        <w:bidi w:val="0"/>
        <w:adjustRightInd/>
        <w:snapToGrid/>
        <w:spacing w:line="560" w:lineRule="exact"/>
        <w:ind w:firstLine="723" w:firstLineChars="300"/>
        <w:textAlignment w:val="auto"/>
        <w:rPr>
          <w:rFonts w:hint="eastAsia" w:ascii="宋体" w:hAnsi="宋体"/>
          <w:b/>
          <w:bCs/>
          <w:color w:val="000000"/>
          <w:sz w:val="24"/>
          <w:szCs w:val="24"/>
        </w:rPr>
      </w:pPr>
      <w:r>
        <w:rPr>
          <w:rFonts w:hint="eastAsia" w:ascii="宋体" w:hAnsi="宋体"/>
          <w:b/>
          <w:bCs/>
          <w:color w:val="000000"/>
          <w:sz w:val="24"/>
          <w:szCs w:val="24"/>
        </w:rPr>
        <w:t>注：此处请提供询比采购文件要求提供的或投标单位认为必须提供的相关证明材料（涉及加分的必须将原件带到开标现场，由评标委员会进行审查。）</w:t>
      </w:r>
    </w:p>
    <w:p w14:paraId="18D9C1AC">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szCs w:val="24"/>
        </w:rPr>
      </w:pPr>
    </w:p>
    <w:p w14:paraId="0D72F18B">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1DEDB907">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252A98C2">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5C0EF22F">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3ACD9C1A">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649ACCA7">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182BD30A">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271E8CD1">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650AA580">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0527C567">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40863BCC">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66A84412">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15DEAA94">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7DEEAE58">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74EB6862">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0D2E1D1C">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289D216D">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bookmarkStart w:id="57" w:name="_Toc74"/>
      <w:r>
        <w:rPr>
          <w:rFonts w:hint="eastAsia"/>
          <w:color w:val="000000"/>
          <w:sz w:val="24"/>
          <w:szCs w:val="24"/>
        </w:rPr>
        <w:t>供应商资格证明文件</w:t>
      </w:r>
      <w:bookmarkEnd w:id="57"/>
    </w:p>
    <w:p w14:paraId="489DF99C">
      <w:pPr>
        <w:pageBreakBefore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宋体"/>
          <w:b/>
          <w:color w:val="000000"/>
          <w:sz w:val="24"/>
          <w:szCs w:val="24"/>
        </w:rPr>
      </w:pPr>
    </w:p>
    <w:p w14:paraId="5038065B">
      <w:pPr>
        <w:pageBreakBefore w:val="0"/>
        <w:kinsoku/>
        <w:wordWrap/>
        <w:overflowPunct/>
        <w:topLinePunct w:val="0"/>
        <w:autoSpaceDE/>
        <w:autoSpaceDN/>
        <w:bidi w:val="0"/>
        <w:adjustRightInd/>
        <w:snapToGrid/>
        <w:spacing w:line="560" w:lineRule="exact"/>
        <w:jc w:val="center"/>
        <w:textAlignment w:val="auto"/>
        <w:rPr>
          <w:rFonts w:hint="eastAsia" w:ascii="宋体" w:hAnsi="宋体"/>
          <w:b/>
          <w:color w:val="000000"/>
          <w:sz w:val="24"/>
          <w:szCs w:val="24"/>
        </w:rPr>
      </w:pPr>
      <w:r>
        <w:rPr>
          <w:rFonts w:hint="eastAsia" w:ascii="宋体" w:hAnsi="宋体"/>
          <w:b/>
          <w:color w:val="000000"/>
          <w:sz w:val="24"/>
          <w:szCs w:val="24"/>
        </w:rPr>
        <w:t>供应商资格证明文件</w:t>
      </w:r>
    </w:p>
    <w:p w14:paraId="03001D8D">
      <w:pPr>
        <w:pageBreakBefore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宋体"/>
          <w:b/>
          <w:color w:val="000000"/>
          <w:sz w:val="24"/>
          <w:szCs w:val="24"/>
        </w:rPr>
      </w:pPr>
    </w:p>
    <w:p w14:paraId="602A3BBC">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color w:val="000000"/>
          <w:sz w:val="24"/>
          <w:szCs w:val="24"/>
        </w:rPr>
      </w:pPr>
      <w:r>
        <w:rPr>
          <w:rFonts w:hint="eastAsia" w:ascii="宋体" w:hAnsi="宋体"/>
          <w:color w:val="000000"/>
          <w:sz w:val="24"/>
          <w:szCs w:val="24"/>
        </w:rPr>
        <w:t>A．</w:t>
      </w:r>
      <w:r>
        <w:rPr>
          <w:rFonts w:hint="eastAsia" w:ascii="宋体" w:hAnsi="宋体"/>
          <w:sz w:val="24"/>
          <w:szCs w:val="24"/>
        </w:rPr>
        <w:t>有效的企业营业执照副本、税务登记证副本、组织机构代码证副本（三证合一或五证合一的企业只需提供具有统一社会信用代码独立法人的营业执照副本）</w:t>
      </w:r>
      <w:r>
        <w:rPr>
          <w:rFonts w:hint="eastAsia" w:ascii="宋体"/>
          <w:color w:val="000000"/>
          <w:sz w:val="24"/>
          <w:szCs w:val="24"/>
        </w:rPr>
        <w:t>；</w:t>
      </w:r>
    </w:p>
    <w:p w14:paraId="14865F43">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B．</w:t>
      </w:r>
      <w:r>
        <w:rPr>
          <w:rFonts w:hint="eastAsia" w:ascii="宋体" w:hAnsi="宋体"/>
          <w:sz w:val="24"/>
          <w:szCs w:val="24"/>
        </w:rPr>
        <w:t>银行开户许可证（或取消开户许可证的须提供基本存款账户银行备案资料）</w:t>
      </w:r>
      <w:r>
        <w:rPr>
          <w:rFonts w:hint="eastAsia" w:ascii="宋体" w:hAnsi="宋体"/>
          <w:color w:val="000000"/>
          <w:sz w:val="24"/>
          <w:szCs w:val="24"/>
        </w:rPr>
        <w:t>；</w:t>
      </w:r>
    </w:p>
    <w:p w14:paraId="355246B2">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C．</w:t>
      </w:r>
      <w:r>
        <w:rPr>
          <w:rFonts w:hint="eastAsia" w:ascii="宋体" w:hAnsi="宋体"/>
          <w:sz w:val="24"/>
          <w:szCs w:val="24"/>
        </w:rPr>
        <w:t>缴费所属期为202</w:t>
      </w:r>
      <w:r>
        <w:rPr>
          <w:rFonts w:hint="eastAsia" w:ascii="宋体" w:hAnsi="宋体"/>
          <w:sz w:val="24"/>
          <w:szCs w:val="24"/>
          <w:lang w:val="en-US" w:eastAsia="zh-CN"/>
        </w:rPr>
        <w:t>5</w:t>
      </w:r>
      <w:r>
        <w:rPr>
          <w:rFonts w:hint="eastAsia" w:ascii="宋体" w:hAnsi="宋体"/>
          <w:sz w:val="24"/>
          <w:szCs w:val="24"/>
        </w:rPr>
        <w:t>年1月1日至今任意月</w:t>
      </w:r>
      <w:r>
        <w:rPr>
          <w:rFonts w:hint="eastAsia" w:ascii="宋体"/>
          <w:sz w:val="24"/>
          <w:szCs w:val="24"/>
        </w:rPr>
        <w:t>的依法缴纳税收的证明材料复印件（至少包括增值税和企业所得税，如依法免税的提供相应证明文件复印件、如零缴纳的提供税务部门证明材料复印件）</w:t>
      </w:r>
      <w:r>
        <w:rPr>
          <w:rFonts w:hint="eastAsia" w:ascii="宋体" w:hAnsi="宋体"/>
          <w:color w:val="000000"/>
          <w:sz w:val="24"/>
          <w:szCs w:val="24"/>
        </w:rPr>
        <w:t>；</w:t>
      </w:r>
    </w:p>
    <w:p w14:paraId="3EDF4142">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D.</w:t>
      </w:r>
      <w:r>
        <w:rPr>
          <w:rFonts w:hint="eastAsia" w:ascii="宋体" w:hAnsi="宋体"/>
          <w:sz w:val="24"/>
          <w:szCs w:val="24"/>
        </w:rPr>
        <w:t>缴费所属期为202</w:t>
      </w:r>
      <w:r>
        <w:rPr>
          <w:rFonts w:hint="eastAsia" w:ascii="宋体" w:hAnsi="宋体"/>
          <w:sz w:val="24"/>
          <w:szCs w:val="24"/>
          <w:lang w:val="en-US" w:eastAsia="zh-CN"/>
        </w:rPr>
        <w:t>5</w:t>
      </w:r>
      <w:r>
        <w:rPr>
          <w:rFonts w:hint="eastAsia" w:ascii="宋体" w:hAnsi="宋体"/>
          <w:sz w:val="24"/>
          <w:szCs w:val="24"/>
        </w:rPr>
        <w:t>年1月1日至今任意月的依法缴纳社会保障资金的缴纳凭证或证明材料复印件（如依法不需要缴纳社保的，提供相应证明文件复印件）；</w:t>
      </w:r>
    </w:p>
    <w:p w14:paraId="68D723B2">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E．法定代表人身份证明书</w:t>
      </w:r>
      <w:r>
        <w:rPr>
          <w:rFonts w:hint="eastAsia" w:ascii="宋体" w:hAnsi="宋体"/>
          <w:sz w:val="24"/>
          <w:szCs w:val="24"/>
          <w:lang w:bidi="ar"/>
        </w:rPr>
        <w:t>原件</w:t>
      </w:r>
      <w:r>
        <w:rPr>
          <w:rFonts w:hint="eastAsia" w:ascii="宋体" w:hAnsi="宋体"/>
          <w:color w:val="000000"/>
          <w:sz w:val="24"/>
          <w:szCs w:val="24"/>
        </w:rPr>
        <w:t>和</w:t>
      </w:r>
      <w:r>
        <w:rPr>
          <w:rFonts w:hint="eastAsia" w:ascii="宋体" w:hAnsi="宋体"/>
          <w:sz w:val="24"/>
          <w:szCs w:val="24"/>
          <w:lang w:bidi="ar"/>
        </w:rPr>
        <w:t>授权委托书原件（法定代表人参加投标的，不需要提供授权委托书原件）</w:t>
      </w:r>
      <w:r>
        <w:rPr>
          <w:rFonts w:hint="eastAsia" w:ascii="宋体" w:hAnsi="宋体"/>
          <w:color w:val="000000"/>
          <w:kern w:val="18"/>
          <w:sz w:val="24"/>
          <w:szCs w:val="24"/>
        </w:rPr>
        <w:t>；</w:t>
      </w:r>
    </w:p>
    <w:p w14:paraId="42C5F00E">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color w:val="000000"/>
          <w:sz w:val="24"/>
          <w:szCs w:val="24"/>
          <w:lang w:bidi="ar"/>
        </w:rPr>
      </w:pPr>
      <w:r>
        <w:rPr>
          <w:rFonts w:hint="eastAsia" w:ascii="宋体" w:hAnsi="宋体" w:cs="宋体"/>
          <w:color w:val="000000"/>
          <w:sz w:val="24"/>
          <w:szCs w:val="24"/>
          <w:lang w:bidi="ar"/>
        </w:rPr>
        <w:t>F．</w:t>
      </w:r>
      <w:r>
        <w:rPr>
          <w:rFonts w:hint="eastAsia" w:ascii="宋体"/>
          <w:sz w:val="24"/>
          <w:szCs w:val="24"/>
        </w:rPr>
        <w:t>供应商参加本次政府采购活动前3年内无重大违法记录和政府采购严重违法失信行为的书面声明</w:t>
      </w:r>
      <w:r>
        <w:rPr>
          <w:rFonts w:hint="eastAsia" w:ascii="宋体" w:hAnsi="宋体" w:cs="宋体"/>
          <w:color w:val="000000"/>
          <w:sz w:val="24"/>
          <w:szCs w:val="24"/>
          <w:lang w:bidi="ar"/>
        </w:rPr>
        <w:t>；</w:t>
      </w:r>
    </w:p>
    <w:p w14:paraId="1F814D8D">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s="宋体"/>
          <w:color w:val="000000"/>
          <w:sz w:val="24"/>
          <w:szCs w:val="24"/>
          <w:lang w:bidi="ar"/>
        </w:rPr>
        <w:t>G．</w:t>
      </w:r>
      <w:r>
        <w:rPr>
          <w:rFonts w:hint="eastAsia" w:ascii="宋体"/>
          <w:sz w:val="24"/>
          <w:szCs w:val="24"/>
        </w:rPr>
        <w:t>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w:t>
      </w:r>
      <w:r>
        <w:rPr>
          <w:rFonts w:hint="eastAsia" w:ascii="宋体" w:hAnsi="宋体" w:cs="宋体"/>
          <w:color w:val="000000"/>
          <w:sz w:val="24"/>
          <w:szCs w:val="24"/>
          <w:lang w:bidi="ar"/>
        </w:rPr>
        <w:t>）。</w:t>
      </w:r>
    </w:p>
    <w:p w14:paraId="287A74DD">
      <w:pPr>
        <w:pageBreakBefore w:val="0"/>
        <w:kinsoku/>
        <w:wordWrap/>
        <w:overflowPunct/>
        <w:topLinePunct w:val="0"/>
        <w:autoSpaceDE/>
        <w:autoSpaceDN/>
        <w:bidi w:val="0"/>
        <w:adjustRightInd/>
        <w:snapToGrid/>
        <w:spacing w:line="560" w:lineRule="exact"/>
        <w:jc w:val="left"/>
        <w:textAlignment w:val="auto"/>
        <w:rPr>
          <w:rFonts w:hint="eastAsia" w:ascii="宋体" w:hAnsi="宋体"/>
          <w:color w:val="000000"/>
          <w:sz w:val="24"/>
          <w:szCs w:val="24"/>
        </w:rPr>
      </w:pPr>
    </w:p>
    <w:p w14:paraId="5C5D8229">
      <w:pPr>
        <w:pageBreakBefore w:val="0"/>
        <w:kinsoku/>
        <w:wordWrap/>
        <w:overflowPunct/>
        <w:topLinePunct w:val="0"/>
        <w:autoSpaceDE/>
        <w:autoSpaceDN/>
        <w:bidi w:val="0"/>
        <w:adjustRightInd/>
        <w:snapToGrid/>
        <w:spacing w:line="560" w:lineRule="exact"/>
        <w:jc w:val="both"/>
        <w:textAlignment w:val="auto"/>
        <w:outlineLvl w:val="9"/>
        <w:rPr>
          <w:rFonts w:hint="eastAsia"/>
        </w:rPr>
      </w:pPr>
    </w:p>
    <w:p w14:paraId="0B5B1931">
      <w:pPr>
        <w:pageBreakBefore w:val="0"/>
        <w:kinsoku/>
        <w:wordWrap/>
        <w:overflowPunct/>
        <w:topLinePunct w:val="0"/>
        <w:autoSpaceDE/>
        <w:autoSpaceDN/>
        <w:bidi w:val="0"/>
        <w:adjustRightInd/>
        <w:snapToGrid/>
        <w:spacing w:line="560" w:lineRule="exact"/>
        <w:textAlignment w:val="auto"/>
        <w:rPr>
          <w:rFonts w:hint="eastAsia"/>
        </w:rPr>
      </w:pPr>
    </w:p>
    <w:p w14:paraId="68A78B60">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bookmarkStart w:id="58" w:name="_Toc321044655"/>
      <w:bookmarkStart w:id="59" w:name="_Toc4839"/>
      <w:r>
        <w:rPr>
          <w:rFonts w:hint="eastAsia"/>
          <w:color w:val="000000"/>
          <w:sz w:val="24"/>
          <w:szCs w:val="24"/>
        </w:rPr>
        <w:t>法定代表人身份证明书格式</w:t>
      </w:r>
      <w:bookmarkEnd w:id="58"/>
      <w:bookmarkEnd w:id="59"/>
    </w:p>
    <w:p w14:paraId="2D27E9C6">
      <w:pPr>
        <w:pageBreakBefore w:val="0"/>
        <w:kinsoku/>
        <w:wordWrap/>
        <w:overflowPunct/>
        <w:topLinePunct w:val="0"/>
        <w:autoSpaceDE/>
        <w:autoSpaceDN/>
        <w:bidi w:val="0"/>
        <w:adjustRightInd/>
        <w:snapToGrid/>
        <w:spacing w:line="560" w:lineRule="exact"/>
        <w:ind w:firstLine="437"/>
        <w:textAlignment w:val="auto"/>
        <w:rPr>
          <w:rFonts w:hint="eastAsia" w:ascii="宋体" w:hAnsi="宋体"/>
          <w:color w:val="000000"/>
          <w:sz w:val="24"/>
          <w:szCs w:val="24"/>
        </w:rPr>
      </w:pPr>
    </w:p>
    <w:p w14:paraId="58DE5F46">
      <w:pPr>
        <w:pageBreakBefore w:val="0"/>
        <w:kinsoku/>
        <w:wordWrap/>
        <w:overflowPunct/>
        <w:topLinePunct w:val="0"/>
        <w:autoSpaceDE/>
        <w:autoSpaceDN/>
        <w:bidi w:val="0"/>
        <w:adjustRightInd/>
        <w:snapToGrid/>
        <w:spacing w:line="560" w:lineRule="exact"/>
        <w:ind w:firstLine="437"/>
        <w:jc w:val="center"/>
        <w:textAlignment w:val="auto"/>
        <w:rPr>
          <w:rFonts w:hint="eastAsia" w:ascii="宋体" w:hAnsi="宋体"/>
          <w:b/>
          <w:color w:val="000000"/>
          <w:sz w:val="24"/>
          <w:szCs w:val="24"/>
        </w:rPr>
      </w:pPr>
      <w:r>
        <w:rPr>
          <w:rFonts w:hint="eastAsia" w:ascii="宋体" w:hAnsi="宋体"/>
          <w:b/>
          <w:color w:val="000000"/>
          <w:sz w:val="24"/>
          <w:szCs w:val="24"/>
        </w:rPr>
        <w:t>法定代表人身份证明书</w:t>
      </w:r>
    </w:p>
    <w:p w14:paraId="2A00DBBC">
      <w:pPr>
        <w:pageBreakBefore w:val="0"/>
        <w:kinsoku/>
        <w:wordWrap/>
        <w:overflowPunct/>
        <w:topLinePunct w:val="0"/>
        <w:autoSpaceDE/>
        <w:autoSpaceDN/>
        <w:bidi w:val="0"/>
        <w:adjustRightInd/>
        <w:snapToGrid/>
        <w:spacing w:line="560" w:lineRule="exact"/>
        <w:ind w:firstLine="437"/>
        <w:jc w:val="center"/>
        <w:textAlignment w:val="auto"/>
        <w:rPr>
          <w:rFonts w:hint="eastAsia" w:ascii="宋体" w:hAnsi="宋体"/>
          <w:b/>
          <w:color w:val="000000"/>
          <w:sz w:val="24"/>
          <w:szCs w:val="24"/>
        </w:rPr>
      </w:pPr>
    </w:p>
    <w:p w14:paraId="5E0C5216">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lang w:val="en-US" w:eastAsia="zh-CN"/>
        </w:rPr>
        <w:t>张家口霖辉物业管理集团有限公司</w:t>
      </w:r>
      <w:r>
        <w:rPr>
          <w:rFonts w:hint="eastAsia" w:ascii="宋体" w:hAnsi="宋体"/>
          <w:color w:val="000000"/>
          <w:sz w:val="24"/>
          <w:szCs w:val="24"/>
        </w:rPr>
        <w:t>：</w:t>
      </w:r>
    </w:p>
    <w:p w14:paraId="3F5EF693">
      <w:pPr>
        <w:pageBreakBefore w:val="0"/>
        <w:kinsoku/>
        <w:wordWrap/>
        <w:overflowPunct/>
        <w:topLinePunct w:val="0"/>
        <w:autoSpaceDE/>
        <w:autoSpaceDN/>
        <w:bidi w:val="0"/>
        <w:adjustRightInd/>
        <w:snapToGrid/>
        <w:spacing w:line="560" w:lineRule="exact"/>
        <w:ind w:firstLine="437"/>
        <w:textAlignment w:val="auto"/>
        <w:rPr>
          <w:rFonts w:hint="eastAsia" w:ascii="宋体" w:hAnsi="宋体"/>
          <w:color w:val="000000"/>
          <w:sz w:val="24"/>
          <w:szCs w:val="24"/>
        </w:rPr>
      </w:pP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先</w:t>
      </w:r>
      <w:r>
        <w:rPr>
          <w:rFonts w:hint="eastAsia" w:asciiTheme="minorEastAsia" w:hAnsiTheme="minorEastAsia" w:eastAsiaTheme="minorEastAsia" w:cstheme="minorEastAsia"/>
          <w:color w:val="000000"/>
          <w:sz w:val="24"/>
          <w:szCs w:val="24"/>
        </w:rPr>
        <w:t>生（女士）</w:t>
      </w:r>
      <w:r>
        <w:rPr>
          <w:rFonts w:hint="eastAsia" w:ascii="宋体" w:hAnsi="宋体"/>
          <w:color w:val="000000"/>
          <w:sz w:val="24"/>
          <w:szCs w:val="24"/>
        </w:rPr>
        <w:t>，在我单位任职务，是我单位的法定代表人。</w:t>
      </w:r>
    </w:p>
    <w:p w14:paraId="4C232AFA">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rPr>
        <w:t>特此证明</w:t>
      </w:r>
    </w:p>
    <w:p w14:paraId="49D8C010">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37327F4E">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身份证号码：</w:t>
      </w:r>
    </w:p>
    <w:p w14:paraId="2B6A3D14">
      <w:pPr>
        <w:pageBreakBefore w:val="0"/>
        <w:kinsoku/>
        <w:wordWrap/>
        <w:overflowPunct/>
        <w:topLinePunct w:val="0"/>
        <w:autoSpaceDE/>
        <w:autoSpaceDN/>
        <w:bidi w:val="0"/>
        <w:adjustRightInd/>
        <w:snapToGrid/>
        <w:spacing w:line="560" w:lineRule="exact"/>
        <w:textAlignment w:val="auto"/>
        <w:outlineLvl w:val="9"/>
        <w:rPr>
          <w:rFonts w:hint="eastAsia"/>
          <w:sz w:val="24"/>
          <w:szCs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3"/>
      </w:tblGrid>
      <w:tr w14:paraId="7ACF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7043" w:type="dxa"/>
            <w:tcBorders>
              <w:top w:val="single" w:color="auto" w:sz="4" w:space="0"/>
              <w:left w:val="single" w:color="auto" w:sz="4" w:space="0"/>
              <w:bottom w:val="single" w:color="auto" w:sz="4" w:space="0"/>
              <w:right w:val="single" w:color="auto" w:sz="4" w:space="0"/>
            </w:tcBorders>
            <w:noWrap w:val="0"/>
            <w:vAlign w:val="top"/>
          </w:tcPr>
          <w:p w14:paraId="69B6B171">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sz w:val="24"/>
                <w:szCs w:val="24"/>
              </w:rPr>
            </w:pPr>
          </w:p>
          <w:p w14:paraId="043BEBD5">
            <w:pPr>
              <w:pageBreakBefore w:val="0"/>
              <w:widowControl/>
              <w:kinsoku/>
              <w:wordWrap/>
              <w:overflowPunct/>
              <w:topLinePunct w:val="0"/>
              <w:autoSpaceDE/>
              <w:autoSpaceDN/>
              <w:bidi w:val="0"/>
              <w:adjustRightInd/>
              <w:snapToGrid/>
              <w:spacing w:line="560" w:lineRule="exact"/>
              <w:jc w:val="center"/>
              <w:textAlignment w:val="auto"/>
              <w:rPr>
                <w:rFonts w:hint="eastAsia" w:ascii="宋体" w:eastAsia="宋体" w:cs="宋体"/>
                <w:bCs/>
                <w:sz w:val="24"/>
                <w:szCs w:val="24"/>
              </w:rPr>
            </w:pPr>
          </w:p>
          <w:p w14:paraId="082E91DD">
            <w:pPr>
              <w:pageBreakBefore w:val="0"/>
              <w:widowControl/>
              <w:kinsoku/>
              <w:wordWrap/>
              <w:overflowPunct/>
              <w:topLinePunct w:val="0"/>
              <w:autoSpaceDE/>
              <w:autoSpaceDN/>
              <w:bidi w:val="0"/>
              <w:adjustRightInd/>
              <w:snapToGrid/>
              <w:spacing w:line="560" w:lineRule="exact"/>
              <w:jc w:val="center"/>
              <w:textAlignment w:val="auto"/>
              <w:rPr>
                <w:rFonts w:hint="eastAsia" w:ascii="宋体" w:eastAsia="宋体" w:cs="宋体"/>
                <w:bCs/>
                <w:sz w:val="24"/>
                <w:szCs w:val="24"/>
              </w:rPr>
            </w:pPr>
          </w:p>
          <w:p w14:paraId="0188CAD9">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sz w:val="24"/>
                <w:szCs w:val="24"/>
              </w:rPr>
            </w:pPr>
          </w:p>
          <w:p w14:paraId="5F9F4B1E">
            <w:pPr>
              <w:pageBreakBefore w:val="0"/>
              <w:widowControl/>
              <w:kinsoku/>
              <w:wordWrap/>
              <w:overflowPunct/>
              <w:topLinePunct w:val="0"/>
              <w:autoSpaceDE/>
              <w:autoSpaceDN/>
              <w:bidi w:val="0"/>
              <w:adjustRightInd/>
              <w:snapToGrid/>
              <w:spacing w:line="560" w:lineRule="exact"/>
              <w:jc w:val="center"/>
              <w:textAlignment w:val="auto"/>
              <w:rPr>
                <w:rFonts w:hint="eastAsia" w:ascii="宋体" w:eastAsia="宋体" w:cs="宋体"/>
                <w:bCs/>
                <w:sz w:val="24"/>
                <w:szCs w:val="24"/>
              </w:rPr>
            </w:pPr>
            <w:r>
              <w:rPr>
                <w:rFonts w:hint="eastAsia" w:ascii="宋体" w:hAnsi="宋体" w:eastAsia="宋体" w:cs="宋体"/>
                <w:bCs/>
                <w:kern w:val="0"/>
                <w:sz w:val="24"/>
                <w:szCs w:val="24"/>
                <w:lang w:bidi="ar"/>
              </w:rPr>
              <w:t>二代身份证，须同时提供正、反两面复印件</w:t>
            </w:r>
          </w:p>
          <w:p w14:paraId="1D8238F5">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sz w:val="24"/>
                <w:szCs w:val="24"/>
              </w:rPr>
            </w:pPr>
          </w:p>
          <w:p w14:paraId="757E1DBF">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sz w:val="24"/>
                <w:szCs w:val="24"/>
              </w:rPr>
            </w:pPr>
          </w:p>
          <w:p w14:paraId="45E2D693">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sz w:val="24"/>
                <w:szCs w:val="24"/>
              </w:rPr>
            </w:pPr>
          </w:p>
        </w:tc>
      </w:tr>
    </w:tbl>
    <w:p w14:paraId="1743B625">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08333B32">
      <w:pPr>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color w:val="000000"/>
          <w:sz w:val="24"/>
          <w:szCs w:val="24"/>
        </w:rPr>
      </w:pPr>
      <w:r>
        <w:rPr>
          <w:rFonts w:hint="eastAsia" w:ascii="宋体" w:hAnsi="宋体"/>
          <w:color w:val="000000"/>
          <w:sz w:val="24"/>
          <w:szCs w:val="24"/>
        </w:rPr>
        <w:t>供应商全称（公章）：</w:t>
      </w:r>
    </w:p>
    <w:p w14:paraId="34BA4465">
      <w:pPr>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color w:val="000000"/>
          <w:sz w:val="24"/>
          <w:szCs w:val="24"/>
        </w:rPr>
      </w:pPr>
    </w:p>
    <w:p w14:paraId="04C33961">
      <w:pPr>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color w:val="000000"/>
          <w:sz w:val="24"/>
          <w:szCs w:val="24"/>
        </w:rPr>
      </w:pPr>
      <w:r>
        <w:rPr>
          <w:rFonts w:hint="eastAsia" w:ascii="宋体" w:hAnsi="宋体"/>
          <w:color w:val="000000"/>
          <w:sz w:val="24"/>
          <w:szCs w:val="24"/>
        </w:rPr>
        <w:t>法定代表人（签字）：</w:t>
      </w:r>
    </w:p>
    <w:p w14:paraId="7F797E5B">
      <w:pPr>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color w:val="000000"/>
          <w:sz w:val="24"/>
          <w:szCs w:val="24"/>
        </w:rPr>
      </w:pPr>
    </w:p>
    <w:p w14:paraId="7721ED73">
      <w:pPr>
        <w:pageBreakBefore w:val="0"/>
        <w:tabs>
          <w:tab w:val="left" w:pos="5760"/>
        </w:tabs>
        <w:kinsoku/>
        <w:wordWrap/>
        <w:overflowPunct/>
        <w:topLinePunct w:val="0"/>
        <w:autoSpaceDE/>
        <w:autoSpaceDN/>
        <w:bidi w:val="0"/>
        <w:adjustRightInd/>
        <w:snapToGrid/>
        <w:spacing w:line="560" w:lineRule="exact"/>
        <w:ind w:firstLine="240" w:firstLineChars="100"/>
        <w:jc w:val="left"/>
        <w:textAlignment w:val="auto"/>
        <w:rPr>
          <w:rFonts w:hint="eastAsia"/>
          <w:color w:val="000000"/>
        </w:rPr>
      </w:pPr>
      <w:r>
        <w:rPr>
          <w:rFonts w:hint="eastAsia" w:ascii="宋体" w:hAnsi="宋体"/>
          <w:color w:val="000000"/>
          <w:sz w:val="24"/>
          <w:szCs w:val="24"/>
        </w:rPr>
        <w:t>年月日</w:t>
      </w:r>
      <w:bookmarkStart w:id="60" w:name="_Toc27978"/>
      <w:bookmarkStart w:id="61" w:name="_Toc321044656"/>
      <w:r>
        <w:rPr>
          <w:rFonts w:hint="eastAsia"/>
          <w:color w:val="000000"/>
        </w:rPr>
        <w:br w:type="page"/>
      </w:r>
    </w:p>
    <w:p w14:paraId="108DB3B0">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r>
        <w:rPr>
          <w:rFonts w:hint="eastAsia"/>
          <w:color w:val="000000"/>
          <w:sz w:val="24"/>
          <w:szCs w:val="24"/>
        </w:rPr>
        <w:t>法定代表人授权委托书格式</w:t>
      </w:r>
      <w:bookmarkEnd w:id="60"/>
      <w:bookmarkEnd w:id="61"/>
    </w:p>
    <w:p w14:paraId="68FF1C43">
      <w:pPr>
        <w:pageBreakBefore w:val="0"/>
        <w:kinsoku/>
        <w:wordWrap/>
        <w:overflowPunct/>
        <w:topLinePunct w:val="0"/>
        <w:autoSpaceDE/>
        <w:autoSpaceDN/>
        <w:bidi w:val="0"/>
        <w:adjustRightInd/>
        <w:snapToGrid/>
        <w:spacing w:line="560" w:lineRule="exact"/>
        <w:jc w:val="center"/>
        <w:textAlignment w:val="auto"/>
        <w:rPr>
          <w:rFonts w:hint="eastAsia" w:ascii="宋体" w:hAnsi="宋体"/>
          <w:b/>
          <w:color w:val="000000"/>
          <w:sz w:val="24"/>
          <w:szCs w:val="24"/>
        </w:rPr>
      </w:pPr>
    </w:p>
    <w:p w14:paraId="613A6795">
      <w:pPr>
        <w:pageBreakBefore w:val="0"/>
        <w:kinsoku/>
        <w:wordWrap/>
        <w:overflowPunct/>
        <w:topLinePunct w:val="0"/>
        <w:autoSpaceDE/>
        <w:autoSpaceDN/>
        <w:bidi w:val="0"/>
        <w:adjustRightInd/>
        <w:snapToGrid/>
        <w:spacing w:line="560" w:lineRule="exact"/>
        <w:jc w:val="center"/>
        <w:textAlignment w:val="auto"/>
        <w:rPr>
          <w:rFonts w:hint="eastAsia" w:ascii="宋体" w:hAnsi="宋体"/>
          <w:b/>
          <w:color w:val="000000"/>
          <w:sz w:val="24"/>
          <w:szCs w:val="24"/>
        </w:rPr>
      </w:pPr>
      <w:r>
        <w:rPr>
          <w:rFonts w:hint="eastAsia" w:ascii="宋体" w:hAnsi="宋体"/>
          <w:b/>
          <w:color w:val="000000"/>
          <w:sz w:val="24"/>
          <w:szCs w:val="24"/>
        </w:rPr>
        <w:t>法定代表人授权委托书</w:t>
      </w:r>
    </w:p>
    <w:p w14:paraId="070B9FE3">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4F11C3F6">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兹委托</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(姓名)</w:t>
      </w:r>
      <w:r>
        <w:rPr>
          <w:rFonts w:hint="eastAsia" w:asciiTheme="minorEastAsia" w:hAnsiTheme="minorEastAsia" w:eastAsiaTheme="minorEastAsia" w:cstheme="minorEastAsia"/>
          <w:color w:val="000000"/>
          <w:sz w:val="24"/>
          <w:szCs w:val="24"/>
        </w:rPr>
        <w:t>先生（女士）为我单位参加</w:t>
      </w:r>
      <w:r>
        <w:rPr>
          <w:rFonts w:hint="eastAsia" w:asciiTheme="minorEastAsia" w:hAnsiTheme="minorEastAsia" w:eastAsiaTheme="minorEastAsia" w:cstheme="minorEastAsia"/>
          <w:color w:val="000000"/>
          <w:sz w:val="24"/>
          <w:szCs w:val="24"/>
          <w:u w:val="single"/>
          <w:lang w:val="en-US" w:eastAsia="zh-CN"/>
        </w:rPr>
        <w:t>张家口霖辉物业管理集团有限公司</w:t>
      </w:r>
      <w:r>
        <w:rPr>
          <w:rFonts w:hint="eastAsia" w:asciiTheme="minorEastAsia" w:hAnsiTheme="minorEastAsia" w:eastAsiaTheme="minorEastAsia" w:cstheme="minorEastAsia"/>
          <w:color w:val="000000"/>
          <w:sz w:val="24"/>
          <w:szCs w:val="24"/>
        </w:rPr>
        <w:t>组织的</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highlight w:val="none"/>
          <w:u w:val="single"/>
          <w:lang w:val="en-US" w:eastAsia="zh-CN"/>
        </w:rPr>
        <w:t xml:space="preserve">  项目</w:t>
      </w:r>
      <w:r>
        <w:rPr>
          <w:rFonts w:hint="eastAsia" w:asciiTheme="minorEastAsia" w:hAnsiTheme="minorEastAsia" w:eastAsiaTheme="minorEastAsia" w:cstheme="minorEastAsia"/>
          <w:color w:val="000000"/>
          <w:sz w:val="24"/>
          <w:szCs w:val="24"/>
          <w:highlight w:val="none"/>
        </w:rPr>
        <w:t>询比采购文</w:t>
      </w:r>
      <w:r>
        <w:rPr>
          <w:rFonts w:hint="eastAsia" w:asciiTheme="minorEastAsia" w:hAnsiTheme="minorEastAsia" w:eastAsiaTheme="minorEastAsia" w:cstheme="minorEastAsia"/>
          <w:color w:val="000000"/>
          <w:sz w:val="24"/>
          <w:szCs w:val="24"/>
        </w:rPr>
        <w:t>件（</w:t>
      </w:r>
      <w:r>
        <w:rPr>
          <w:rFonts w:hint="eastAsia" w:asciiTheme="minorEastAsia" w:hAnsiTheme="minorEastAsia" w:eastAsiaTheme="minorEastAsia" w:cstheme="minorEastAsia"/>
          <w:color w:val="000000"/>
          <w:sz w:val="24"/>
          <w:szCs w:val="24"/>
          <w:u w:val="single"/>
        </w:rPr>
        <w:t>项目编号：</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）的投标代理人,其代理权限为：封标、投标、澄清、答疑、开标、交纳保证金、签署合同、结算、售后服务。</w:t>
      </w:r>
    </w:p>
    <w:p w14:paraId="1716E079">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rPr>
        <w:t>代理期限从年月日至年月日止</w:t>
      </w:r>
    </w:p>
    <w:p w14:paraId="454C252A">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rPr>
        <w:t>附投标代理人情况：</w:t>
      </w:r>
    </w:p>
    <w:p w14:paraId="20FCB8E8">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姓名：性别年龄：职务：</w:t>
      </w:r>
    </w:p>
    <w:p w14:paraId="4B5BE555">
      <w:pPr>
        <w:pageBreakBefore w:val="0"/>
        <w:kinsoku/>
        <w:wordWrap/>
        <w:overflowPunct/>
        <w:topLinePunct w:val="0"/>
        <w:autoSpaceDE/>
        <w:autoSpaceDN/>
        <w:bidi w:val="0"/>
        <w:adjustRightInd/>
        <w:snapToGrid/>
        <w:spacing w:line="560" w:lineRule="exact"/>
        <w:ind w:firstLine="120" w:firstLineChars="50"/>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详细通讯址：</w:t>
      </w:r>
    </w:p>
    <w:p w14:paraId="134C7C91">
      <w:pPr>
        <w:pageBreakBefore w:val="0"/>
        <w:kinsoku/>
        <w:wordWrap/>
        <w:overflowPunct/>
        <w:topLinePunct w:val="0"/>
        <w:autoSpaceDE/>
        <w:autoSpaceDN/>
        <w:bidi w:val="0"/>
        <w:adjustRightInd/>
        <w:snapToGrid/>
        <w:spacing w:line="560" w:lineRule="exact"/>
        <w:ind w:firstLine="120" w:firstLineChars="50"/>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电话：传真：</w:t>
      </w:r>
    </w:p>
    <w:p w14:paraId="483A2623">
      <w:pPr>
        <w:pageBreakBefore w:val="0"/>
        <w:kinsoku/>
        <w:wordWrap/>
        <w:overflowPunct/>
        <w:topLinePunct w:val="0"/>
        <w:autoSpaceDE/>
        <w:autoSpaceDN/>
        <w:bidi w:val="0"/>
        <w:adjustRightInd/>
        <w:snapToGrid/>
        <w:spacing w:line="560" w:lineRule="exact"/>
        <w:ind w:firstLine="120" w:firstLineChars="50"/>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邮政编码：</w:t>
      </w:r>
    </w:p>
    <w:p w14:paraId="60315600">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身份证号码：</w:t>
      </w:r>
    </w:p>
    <w:p w14:paraId="7EE0BDEF">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u w:val="singl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0"/>
      </w:tblGrid>
      <w:tr w14:paraId="04FC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7800" w:type="dxa"/>
            <w:tcBorders>
              <w:top w:val="single" w:color="auto" w:sz="4" w:space="0"/>
              <w:left w:val="single" w:color="auto" w:sz="4" w:space="0"/>
              <w:bottom w:val="single" w:color="auto" w:sz="4" w:space="0"/>
              <w:right w:val="single" w:color="auto" w:sz="4" w:space="0"/>
            </w:tcBorders>
            <w:noWrap w:val="0"/>
            <w:vAlign w:val="center"/>
          </w:tcPr>
          <w:p w14:paraId="3885E2DB">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二代身份证，须同时提供正、反两面复印件</w:t>
            </w:r>
          </w:p>
          <w:p w14:paraId="5819231D">
            <w:pPr>
              <w:pageBreakBefore w:val="0"/>
              <w:widowControl/>
              <w:kinsoku/>
              <w:wordWrap/>
              <w:overflowPunct/>
              <w:topLinePunct w:val="0"/>
              <w:autoSpaceDE/>
              <w:autoSpaceDN/>
              <w:bidi w:val="0"/>
              <w:adjustRightInd/>
              <w:snapToGrid/>
              <w:spacing w:line="560" w:lineRule="exact"/>
              <w:jc w:val="center"/>
              <w:textAlignment w:val="auto"/>
              <w:rPr>
                <w:rFonts w:hint="eastAsia" w:ascii="宋体" w:eastAsia="宋体" w:cs="宋体"/>
                <w:bCs/>
                <w:sz w:val="24"/>
                <w:szCs w:val="24"/>
              </w:rPr>
            </w:pPr>
          </w:p>
        </w:tc>
      </w:tr>
    </w:tbl>
    <w:p w14:paraId="66940C27">
      <w:pPr>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sz w:val="24"/>
          <w:szCs w:val="24"/>
        </w:rPr>
      </w:pPr>
    </w:p>
    <w:p w14:paraId="50B62433">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rPr>
        <w:t>供应商全称（公章）：</w:t>
      </w:r>
    </w:p>
    <w:p w14:paraId="55AA4052">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4B5CC085">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rPr>
        <w:t>法定代表人（签字）：</w:t>
      </w:r>
    </w:p>
    <w:p w14:paraId="63E6EDAA">
      <w:pPr>
        <w:pageBreakBefore w:val="0"/>
        <w:tabs>
          <w:tab w:val="left" w:pos="5760"/>
        </w:tabs>
        <w:kinsoku/>
        <w:wordWrap/>
        <w:overflowPunct/>
        <w:topLinePunct w:val="0"/>
        <w:autoSpaceDE/>
        <w:autoSpaceDN/>
        <w:bidi w:val="0"/>
        <w:adjustRightInd/>
        <w:snapToGrid/>
        <w:spacing w:line="560" w:lineRule="exact"/>
        <w:ind w:firstLine="6360" w:firstLineChars="2650"/>
        <w:jc w:val="left"/>
        <w:textAlignment w:val="auto"/>
        <w:rPr>
          <w:color w:val="000000"/>
          <w:sz w:val="24"/>
          <w:szCs w:val="24"/>
        </w:rPr>
      </w:pPr>
      <w:r>
        <w:rPr>
          <w:rFonts w:hint="eastAsia" w:ascii="宋体" w:hAnsi="宋体"/>
          <w:color w:val="000000"/>
          <w:sz w:val="24"/>
          <w:szCs w:val="24"/>
        </w:rPr>
        <w:t>年月日</w:t>
      </w:r>
      <w:bookmarkStart w:id="62" w:name="_Toc428538928"/>
      <w:bookmarkStart w:id="63" w:name="_Toc2378"/>
      <w:r>
        <w:rPr>
          <w:color w:val="000000"/>
          <w:sz w:val="24"/>
          <w:szCs w:val="24"/>
        </w:rPr>
        <w:br w:type="page"/>
      </w:r>
    </w:p>
    <w:p w14:paraId="5D4A0CB9">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参加政府采购前3年内无重大违法记录书面声明格式</w:t>
      </w:r>
      <w:bookmarkEnd w:id="62"/>
      <w:bookmarkEnd w:id="63"/>
    </w:p>
    <w:p w14:paraId="7ADBC100">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p>
    <w:p w14:paraId="29D19C16">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p>
    <w:p w14:paraId="6B7D9EDC">
      <w:pPr>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书面声明</w:t>
      </w:r>
    </w:p>
    <w:p w14:paraId="60268E25">
      <w:pPr>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000000"/>
          <w:sz w:val="24"/>
          <w:szCs w:val="24"/>
        </w:rPr>
      </w:pPr>
    </w:p>
    <w:p w14:paraId="5CF59731">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所称重大违法记录，是指供应商因违法经营受到刑事处罚或者责令停产停业、吊销许可证或者执照、较大数额罚款等行政处罚和政府采购严重违法失信行为的书面声明。</w:t>
      </w:r>
    </w:p>
    <w:p w14:paraId="28A4E4F8">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格式自拟。</w:t>
      </w:r>
    </w:p>
    <w:p w14:paraId="67A7F9A2">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590011F3">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7FADAE59">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31DF0DB3">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6235CF32">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p>
    <w:p w14:paraId="76A396DF">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5A4FF136">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4F4A8193">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2F107BFE">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2EE7ED5D">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0F8327E4">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供应商全称（公章）：</w:t>
      </w:r>
    </w:p>
    <w:p w14:paraId="2D57BD2B">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p>
    <w:p w14:paraId="24FE5885">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法定代表人或其授权委托人（签字）：</w:t>
      </w:r>
    </w:p>
    <w:p w14:paraId="3F4F8B79">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p>
    <w:p w14:paraId="58855E06">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r>
        <w:rPr>
          <w:rFonts w:hint="eastAsia" w:asciiTheme="minorEastAsia" w:hAnsiTheme="minorEastAsia" w:eastAsiaTheme="minorEastAsia" w:cstheme="minorEastAsia"/>
          <w:color w:val="000000"/>
          <w:sz w:val="24"/>
          <w:szCs w:val="24"/>
        </w:rPr>
        <w:t>年月日</w:t>
      </w:r>
    </w:p>
    <w:p w14:paraId="4E9BD324">
      <w:pPr>
        <w:rPr>
          <w:rFonts w:hint="eastAsia" w:ascii="宋体" w:hAnsi="宋体"/>
          <w:color w:val="000000"/>
          <w:sz w:val="24"/>
        </w:rPr>
      </w:pPr>
      <w:r>
        <w:rPr>
          <w:rFonts w:hint="eastAsia" w:ascii="宋体" w:hAnsi="宋体"/>
          <w:color w:val="000000"/>
          <w:sz w:val="24"/>
        </w:rPr>
        <w:br w:type="page"/>
      </w:r>
    </w:p>
    <w:bookmarkEnd w:id="40"/>
    <w:bookmarkEnd w:id="41"/>
    <w:bookmarkEnd w:id="42"/>
    <w:bookmarkEnd w:id="43"/>
    <w:p w14:paraId="46E0B0CE">
      <w:pPr>
        <w:bidi w:val="0"/>
        <w:outlineLvl w:val="2"/>
        <w:rPr>
          <w:rFonts w:hint="eastAsia"/>
        </w:rPr>
      </w:pPr>
      <w:r>
        <w:rPr>
          <w:rFonts w:hint="eastAsia"/>
        </w:rPr>
        <w:t>附录：质疑书格式</w:t>
      </w:r>
    </w:p>
    <w:p w14:paraId="07976C4D">
      <w:pPr>
        <w:pageBreakBefore w:val="0"/>
        <w:widowControl/>
        <w:kinsoku/>
        <w:wordWrap/>
        <w:overflowPunct/>
        <w:topLinePunct w:val="0"/>
        <w:bidi w:val="0"/>
        <w:spacing w:line="560" w:lineRule="exact"/>
        <w:ind w:left="12" w:leftChars="-1" w:hanging="14" w:hangingChars="6"/>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lang w:bidi="ar"/>
        </w:rPr>
        <w:t>质疑书</w:t>
      </w:r>
    </w:p>
    <w:p w14:paraId="09C34DFE">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一、质疑供应商基本信息</w:t>
      </w:r>
    </w:p>
    <w:p w14:paraId="4A04FBD3">
      <w:pPr>
        <w:pageBreakBefore w:val="0"/>
        <w:widowControl/>
        <w:kinsoku/>
        <w:wordWrap/>
        <w:overflowPunct/>
        <w:topLinePunct w:val="0"/>
        <w:bidi w:val="0"/>
        <w:spacing w:line="560" w:lineRule="exact"/>
        <w:ind w:firstLine="470" w:firstLineChars="196"/>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lang w:bidi="ar"/>
        </w:rPr>
        <w:t>质疑投标人：</w:t>
      </w:r>
      <w:r>
        <w:rPr>
          <w:rFonts w:hint="eastAsia" w:asciiTheme="minorEastAsia" w:hAnsiTheme="minorEastAsia" w:eastAsiaTheme="minorEastAsia" w:cstheme="minorEastAsia"/>
          <w:kern w:val="0"/>
          <w:sz w:val="24"/>
          <w:szCs w:val="24"/>
          <w:u w:val="single"/>
          <w:lang w:val="en-US" w:eastAsia="zh-CN" w:bidi="ar"/>
        </w:rPr>
        <w:t xml:space="preserve">            </w:t>
      </w:r>
    </w:p>
    <w:p w14:paraId="69A26497">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地址：</w:t>
      </w:r>
      <w:r>
        <w:rPr>
          <w:rFonts w:hint="eastAsia" w:asciiTheme="minorEastAsia" w:hAnsiTheme="minorEastAsia" w:eastAsiaTheme="minorEastAsia" w:cstheme="minorEastAsia"/>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lang w:bidi="ar"/>
        </w:rPr>
        <w:t>邮编：</w:t>
      </w:r>
      <w:r>
        <w:rPr>
          <w:rFonts w:hint="eastAsia" w:asciiTheme="minorEastAsia" w:hAnsiTheme="minorEastAsia" w:eastAsiaTheme="minorEastAsia" w:cstheme="minorEastAsia"/>
          <w:kern w:val="0"/>
          <w:sz w:val="24"/>
          <w:szCs w:val="24"/>
          <w:u w:val="single"/>
          <w:lang w:val="en-US" w:eastAsia="zh-CN" w:bidi="ar"/>
        </w:rPr>
        <w:t xml:space="preserve">            </w:t>
      </w:r>
    </w:p>
    <w:p w14:paraId="39FDB7EE">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联系人：联系电话：</w:t>
      </w:r>
      <w:r>
        <w:rPr>
          <w:rFonts w:hint="eastAsia" w:asciiTheme="minorEastAsia" w:hAnsiTheme="minorEastAsia" w:eastAsiaTheme="minorEastAsia" w:cstheme="minorEastAsia"/>
          <w:kern w:val="0"/>
          <w:sz w:val="24"/>
          <w:szCs w:val="24"/>
          <w:u w:val="single"/>
          <w:lang w:val="en-US" w:eastAsia="zh-CN" w:bidi="ar"/>
        </w:rPr>
        <w:t xml:space="preserve">            </w:t>
      </w:r>
    </w:p>
    <w:p w14:paraId="3FC6CA30">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授权代表：</w:t>
      </w:r>
      <w:r>
        <w:rPr>
          <w:rFonts w:hint="eastAsia" w:asciiTheme="minorEastAsia" w:hAnsiTheme="minorEastAsia" w:eastAsiaTheme="minorEastAsia" w:cstheme="minorEastAsia"/>
          <w:kern w:val="0"/>
          <w:sz w:val="24"/>
          <w:szCs w:val="24"/>
          <w:u w:val="single"/>
          <w:lang w:val="en-US" w:eastAsia="zh-CN" w:bidi="ar"/>
        </w:rPr>
        <w:t xml:space="preserve">            </w:t>
      </w:r>
    </w:p>
    <w:p w14:paraId="27498D5B">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联系电话：</w:t>
      </w:r>
      <w:r>
        <w:rPr>
          <w:rFonts w:hint="eastAsia" w:asciiTheme="minorEastAsia" w:hAnsiTheme="minorEastAsia" w:eastAsiaTheme="minorEastAsia" w:cstheme="minorEastAsia"/>
          <w:kern w:val="0"/>
          <w:sz w:val="24"/>
          <w:szCs w:val="24"/>
          <w:u w:val="single"/>
          <w:lang w:val="en-US" w:eastAsia="zh-CN" w:bidi="ar"/>
        </w:rPr>
        <w:t xml:space="preserve">            </w:t>
      </w:r>
    </w:p>
    <w:p w14:paraId="5650BF07">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地址：</w:t>
      </w:r>
      <w:r>
        <w:rPr>
          <w:rFonts w:hint="eastAsia" w:asciiTheme="minorEastAsia" w:hAnsiTheme="minorEastAsia" w:eastAsiaTheme="minorEastAsia" w:cstheme="minorEastAsia"/>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lang w:bidi="ar"/>
        </w:rPr>
        <w:t>邮编：</w:t>
      </w:r>
      <w:r>
        <w:rPr>
          <w:rFonts w:hint="eastAsia" w:asciiTheme="minorEastAsia" w:hAnsiTheme="minorEastAsia" w:eastAsiaTheme="minorEastAsia" w:cstheme="minorEastAsia"/>
          <w:kern w:val="0"/>
          <w:sz w:val="24"/>
          <w:szCs w:val="24"/>
          <w:u w:val="single"/>
          <w:lang w:val="en-US" w:eastAsia="zh-CN" w:bidi="ar"/>
        </w:rPr>
        <w:t xml:space="preserve">            </w:t>
      </w:r>
    </w:p>
    <w:p w14:paraId="53095413">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二、质疑项目基本情况</w:t>
      </w:r>
    </w:p>
    <w:p w14:paraId="61C58D88">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质疑项目的名称：</w:t>
      </w:r>
      <w:r>
        <w:rPr>
          <w:rFonts w:hint="eastAsia" w:asciiTheme="minorEastAsia" w:hAnsiTheme="minorEastAsia" w:eastAsiaTheme="minorEastAsia" w:cstheme="minorEastAsia"/>
          <w:kern w:val="0"/>
          <w:sz w:val="24"/>
          <w:szCs w:val="24"/>
          <w:u w:val="single"/>
          <w:lang w:eastAsia="zh-CN" w:bidi="ar"/>
        </w:rPr>
        <w:t xml:space="preserve">            </w:t>
      </w:r>
    </w:p>
    <w:p w14:paraId="55D42517">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质疑项目的编号：包号：</w:t>
      </w:r>
      <w:r>
        <w:rPr>
          <w:rFonts w:hint="eastAsia" w:asciiTheme="minorEastAsia" w:hAnsiTheme="minorEastAsia" w:eastAsiaTheme="minorEastAsia" w:cstheme="minorEastAsia"/>
          <w:kern w:val="0"/>
          <w:sz w:val="24"/>
          <w:szCs w:val="24"/>
          <w:u w:val="single"/>
          <w:lang w:val="en-US" w:eastAsia="zh-CN" w:bidi="ar"/>
        </w:rPr>
        <w:t xml:space="preserve">            </w:t>
      </w:r>
    </w:p>
    <w:p w14:paraId="579F4962">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采购人名称：</w:t>
      </w:r>
      <w:r>
        <w:rPr>
          <w:rFonts w:hint="eastAsia" w:asciiTheme="minorEastAsia" w:hAnsiTheme="minorEastAsia" w:eastAsiaTheme="minorEastAsia" w:cstheme="minorEastAsia"/>
          <w:kern w:val="0"/>
          <w:sz w:val="24"/>
          <w:szCs w:val="24"/>
          <w:u w:val="single"/>
          <w:lang w:val="en-US" w:eastAsia="zh-CN" w:bidi="ar"/>
        </w:rPr>
        <w:t xml:space="preserve">            </w:t>
      </w:r>
    </w:p>
    <w:p w14:paraId="56979419">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采购文件获取日期：</w:t>
      </w:r>
      <w:r>
        <w:rPr>
          <w:rFonts w:hint="eastAsia" w:asciiTheme="minorEastAsia" w:hAnsiTheme="minorEastAsia" w:eastAsiaTheme="minorEastAsia" w:cstheme="minorEastAsia"/>
          <w:kern w:val="0"/>
          <w:sz w:val="24"/>
          <w:szCs w:val="24"/>
          <w:u w:val="single"/>
          <w:lang w:val="en-US" w:eastAsia="zh-CN" w:bidi="ar"/>
        </w:rPr>
        <w:t xml:space="preserve">            </w:t>
      </w:r>
    </w:p>
    <w:p w14:paraId="6F65E2F8">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三、质疑事项具体内容</w:t>
      </w:r>
    </w:p>
    <w:p w14:paraId="0D3DA8FC">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质疑事项1：</w:t>
      </w:r>
      <w:r>
        <w:rPr>
          <w:rFonts w:hint="eastAsia" w:asciiTheme="minorEastAsia" w:hAnsiTheme="minorEastAsia" w:eastAsiaTheme="minorEastAsia" w:cstheme="minorEastAsia"/>
          <w:kern w:val="0"/>
          <w:sz w:val="24"/>
          <w:szCs w:val="24"/>
          <w:u w:val="single"/>
          <w:lang w:val="en-US" w:eastAsia="zh-CN" w:bidi="ar"/>
        </w:rPr>
        <w:t xml:space="preserve">            </w:t>
      </w:r>
    </w:p>
    <w:p w14:paraId="33F3512E">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kern w:val="0"/>
          <w:sz w:val="24"/>
          <w:szCs w:val="24"/>
          <w:lang w:bidi="ar"/>
        </w:rPr>
        <w:t>事实依据：</w:t>
      </w:r>
      <w:r>
        <w:rPr>
          <w:rFonts w:hint="eastAsia" w:asciiTheme="minorEastAsia" w:hAnsiTheme="minorEastAsia" w:eastAsiaTheme="minorEastAsia" w:cstheme="minorEastAsia"/>
          <w:kern w:val="0"/>
          <w:sz w:val="24"/>
          <w:szCs w:val="24"/>
          <w:u w:val="single"/>
          <w:lang w:val="en-US" w:eastAsia="zh-CN" w:bidi="ar"/>
        </w:rPr>
        <w:t xml:space="preserve">            </w:t>
      </w:r>
    </w:p>
    <w:p w14:paraId="492322A9">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kern w:val="0"/>
          <w:sz w:val="24"/>
          <w:szCs w:val="24"/>
          <w:lang w:bidi="ar"/>
        </w:rPr>
        <w:t>法律依据：</w:t>
      </w:r>
      <w:r>
        <w:rPr>
          <w:rFonts w:hint="eastAsia" w:asciiTheme="minorEastAsia" w:hAnsiTheme="minorEastAsia" w:eastAsiaTheme="minorEastAsia" w:cstheme="minorEastAsia"/>
          <w:kern w:val="0"/>
          <w:sz w:val="24"/>
          <w:szCs w:val="24"/>
          <w:u w:val="single"/>
          <w:lang w:val="en-US" w:eastAsia="zh-CN" w:bidi="ar"/>
        </w:rPr>
        <w:t xml:space="preserve">            </w:t>
      </w:r>
    </w:p>
    <w:p w14:paraId="3389DBE1">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质疑事项2</w:t>
      </w:r>
    </w:p>
    <w:p w14:paraId="4EF208FC">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w:t>
      </w:r>
    </w:p>
    <w:p w14:paraId="3A8C0B02">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四、与质疑事项相关的质疑请求</w:t>
      </w:r>
    </w:p>
    <w:p w14:paraId="745EB024">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请求：</w:t>
      </w:r>
      <w:r>
        <w:rPr>
          <w:rFonts w:hint="eastAsia" w:asciiTheme="minorEastAsia" w:hAnsiTheme="minorEastAsia" w:eastAsiaTheme="minorEastAsia" w:cstheme="minorEastAsia"/>
          <w:kern w:val="0"/>
          <w:sz w:val="24"/>
          <w:szCs w:val="24"/>
          <w:u w:val="single"/>
          <w:lang w:val="en-US" w:eastAsia="zh-CN" w:bidi="ar"/>
        </w:rPr>
        <w:t xml:space="preserve">            </w:t>
      </w:r>
    </w:p>
    <w:p w14:paraId="0CA76DA6">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签字(签章)：公章：</w:t>
      </w:r>
      <w:r>
        <w:rPr>
          <w:rFonts w:hint="eastAsia" w:asciiTheme="minorEastAsia" w:hAnsiTheme="minorEastAsia" w:eastAsiaTheme="minorEastAsia" w:cstheme="minorEastAsia"/>
          <w:kern w:val="0"/>
          <w:sz w:val="24"/>
          <w:szCs w:val="24"/>
          <w:u w:val="single"/>
          <w:lang w:val="en-US" w:eastAsia="zh-CN" w:bidi="ar"/>
        </w:rPr>
        <w:t xml:space="preserve">            </w:t>
      </w:r>
    </w:p>
    <w:p w14:paraId="4750108B">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日期：</w:t>
      </w:r>
    </w:p>
    <w:p w14:paraId="232A38EB">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br w:type="page"/>
      </w:r>
    </w:p>
    <w:p w14:paraId="67B8279F">
      <w:pPr>
        <w:pageBreakBefore w:val="0"/>
        <w:widowControl/>
        <w:kinsoku/>
        <w:wordWrap/>
        <w:overflowPunct/>
        <w:topLinePunct w:val="0"/>
        <w:bidi w:val="0"/>
        <w:spacing w:line="560" w:lineRule="exact"/>
        <w:ind w:firstLine="470" w:firstLineChars="196"/>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质疑函制作说明：</w:t>
      </w:r>
    </w:p>
    <w:p w14:paraId="6BB6E8B8">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1.投标人提出质疑时，应提交质疑函和必要的证明材料。</w:t>
      </w:r>
    </w:p>
    <w:p w14:paraId="506F8AFE">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36999F76">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3.质疑投标人若对项目的某一分包进行质疑，质疑函中应列明具体分包号。</w:t>
      </w:r>
    </w:p>
    <w:p w14:paraId="37C8A839">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4.质疑函的质疑事项应具体、明确，并有必要的事实依据和法律依据。</w:t>
      </w:r>
    </w:p>
    <w:p w14:paraId="5854BE14">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5.质疑函的质疑请求应与质疑事项相关。</w:t>
      </w:r>
    </w:p>
    <w:p w14:paraId="4E8593A0">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6.质疑投标人为自然人的，质疑函应由本人签字；质疑投标人为法人或者其他组织的，质疑函应由法定代表人、主要负责人，或者其授权代表签字或者盖章，并加盖公章。</w:t>
      </w:r>
    </w:p>
    <w:p w14:paraId="4C683D6C">
      <w:pPr>
        <w:pStyle w:val="3"/>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p>
    <w:p w14:paraId="019E4E9E">
      <w:pPr>
        <w:pStyle w:val="3"/>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p>
    <w:p w14:paraId="2E5BB6D9">
      <w:pPr>
        <w:pStyle w:val="13"/>
        <w:ind w:left="0" w:leftChars="0" w:firstLine="0" w:firstLineChars="0"/>
        <w:rPr>
          <w:rFonts w:hint="eastAsia"/>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UI Emoji">
    <w:panose1 w:val="020B0502040204020203"/>
    <w:charset w:val="00"/>
    <w:family w:val="auto"/>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E4A55">
    <w:pPr>
      <w:pStyle w:val="9"/>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0"/>
        </w:tabs>
        <w:ind w:left="420" w:hanging="420"/>
      </w:pPr>
      <w:rPr>
        <w:rFonts w:hint="eastAsia"/>
      </w:rPr>
    </w:lvl>
    <w:lvl w:ilvl="1" w:tentative="0">
      <w:start w:val="1"/>
      <w:numFmt w:val="decimal"/>
      <w:pStyle w:val="21"/>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4862557B"/>
    <w:multiLevelType w:val="singleLevel"/>
    <w:tmpl w:val="4862557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759E0"/>
    <w:rsid w:val="01885C70"/>
    <w:rsid w:val="02655BC0"/>
    <w:rsid w:val="03C736FA"/>
    <w:rsid w:val="110030B4"/>
    <w:rsid w:val="116033AA"/>
    <w:rsid w:val="132A1E25"/>
    <w:rsid w:val="13882E35"/>
    <w:rsid w:val="143E28D8"/>
    <w:rsid w:val="16107591"/>
    <w:rsid w:val="163B51D6"/>
    <w:rsid w:val="1DC3609F"/>
    <w:rsid w:val="264F7548"/>
    <w:rsid w:val="27FC7598"/>
    <w:rsid w:val="2E8C5FB6"/>
    <w:rsid w:val="2EC855A2"/>
    <w:rsid w:val="32B5039B"/>
    <w:rsid w:val="34525509"/>
    <w:rsid w:val="35FA1818"/>
    <w:rsid w:val="377753EA"/>
    <w:rsid w:val="3A32781E"/>
    <w:rsid w:val="43AD1CF5"/>
    <w:rsid w:val="43CE3F51"/>
    <w:rsid w:val="49AC7F51"/>
    <w:rsid w:val="4AAD3720"/>
    <w:rsid w:val="4E801F14"/>
    <w:rsid w:val="5088217D"/>
    <w:rsid w:val="55271C1F"/>
    <w:rsid w:val="5B6973C9"/>
    <w:rsid w:val="69072618"/>
    <w:rsid w:val="693F340F"/>
    <w:rsid w:val="6CA41B43"/>
    <w:rsid w:val="6D240527"/>
    <w:rsid w:val="782176F5"/>
    <w:rsid w:val="7CE91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line="800" w:lineRule="exact"/>
      <w:ind w:firstLine="0" w:firstLineChars="0"/>
      <w:jc w:val="center"/>
      <w:outlineLvl w:val="0"/>
    </w:pPr>
    <w:rPr>
      <w:rFonts w:ascii="Arial" w:hAnsi="Arial"/>
      <w:b/>
      <w:bCs/>
      <w:kern w:val="44"/>
      <w:sz w:val="36"/>
      <w:szCs w:val="44"/>
    </w:rPr>
  </w:style>
  <w:style w:type="paragraph" w:styleId="3">
    <w:name w:val="heading 3"/>
    <w:basedOn w:val="1"/>
    <w:next w:val="1"/>
    <w:qFormat/>
    <w:uiPriority w:val="9"/>
    <w:pPr>
      <w:keepNext/>
      <w:keepLines/>
      <w:spacing w:line="500" w:lineRule="exact"/>
      <w:jc w:val="left"/>
      <w:outlineLvl w:val="2"/>
    </w:pPr>
    <w:rPr>
      <w:bCs/>
      <w:sz w:val="24"/>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szCs w:val="20"/>
    </w:rPr>
  </w:style>
  <w:style w:type="paragraph" w:styleId="5">
    <w:name w:val="Body Text"/>
    <w:basedOn w:val="1"/>
    <w:qFormat/>
    <w:uiPriority w:val="0"/>
    <w:pPr>
      <w:tabs>
        <w:tab w:val="left" w:pos="562"/>
        <w:tab w:val="left" w:pos="3372"/>
        <w:tab w:val="left" w:pos="3653"/>
      </w:tabs>
    </w:pPr>
    <w:rPr>
      <w:sz w:val="24"/>
    </w:rPr>
  </w:style>
  <w:style w:type="paragraph" w:styleId="6">
    <w:name w:val="Body Text Indent"/>
    <w:basedOn w:val="1"/>
    <w:next w:val="7"/>
    <w:qFormat/>
    <w:uiPriority w:val="0"/>
    <w:pPr>
      <w:ind w:firstLine="645"/>
    </w:pPr>
    <w:rPr>
      <w:rFonts w:ascii="楷体_GB2312" w:eastAsia="楷体_GB2312"/>
      <w:sz w:val="32"/>
      <w:szCs w:val="20"/>
    </w:rPr>
  </w:style>
  <w:style w:type="paragraph" w:styleId="7">
    <w:name w:val="envelope return"/>
    <w:basedOn w:val="1"/>
    <w:qFormat/>
    <w:uiPriority w:val="0"/>
    <w:pPr>
      <w:snapToGrid w:val="0"/>
    </w:pPr>
    <w:rPr>
      <w:rFonts w:ascii="Arial" w:hAnsi="Arial"/>
    </w:rPr>
  </w:style>
  <w:style w:type="paragraph" w:styleId="8">
    <w:name w:val="toc 3"/>
    <w:basedOn w:val="1"/>
    <w:next w:val="1"/>
    <w:qFormat/>
    <w:uiPriority w:val="39"/>
    <w:pPr>
      <w:tabs>
        <w:tab w:val="right" w:leader="middleDot" w:pos="8460"/>
      </w:tabs>
      <w:spacing w:line="360" w:lineRule="exact"/>
    </w:pPr>
    <w:rPr>
      <w:sz w:val="24"/>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toc 2"/>
    <w:basedOn w:val="1"/>
    <w:next w:val="1"/>
    <w:unhideWhenUsed/>
    <w:qFormat/>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w:basedOn w:val="5"/>
    <w:next w:val="13"/>
    <w:qFormat/>
    <w:uiPriority w:val="0"/>
    <w:pPr>
      <w:spacing w:after="120" w:afterLines="0"/>
      <w:ind w:firstLine="420" w:firstLineChars="100"/>
    </w:pPr>
    <w:rPr>
      <w:sz w:val="21"/>
    </w:rPr>
  </w:style>
  <w:style w:type="paragraph" w:styleId="13">
    <w:name w:val="Body Text First Indent 2"/>
    <w:basedOn w:val="6"/>
    <w:next w:val="1"/>
    <w:qFormat/>
    <w:uiPriority w:val="0"/>
    <w:pPr>
      <w:ind w:firstLine="420" w:firstLineChars="200"/>
    </w:pPr>
  </w:style>
  <w:style w:type="paragraph" w:customStyle="1" w:styleId="16">
    <w:name w:val="图片"/>
    <w:basedOn w:val="1"/>
    <w:qFormat/>
    <w:uiPriority w:val="0"/>
    <w:pPr>
      <w:spacing w:before="2" w:line="359" w:lineRule="auto"/>
      <w:ind w:right="128"/>
    </w:pPr>
    <w:rPr>
      <w:rFonts w:hint="eastAsia" w:ascii="Times New Roman" w:hAnsi="Times New Roman" w:eastAsia="宋体" w:cs="Times New Roman"/>
      <w:snapToGrid w:val="0"/>
      <w:color w:val="000000"/>
      <w:spacing w:val="4"/>
      <w:kern w:val="0"/>
      <w:sz w:val="24"/>
      <w:szCs w:val="24"/>
      <w:lang w:eastAsia="zh-CN"/>
    </w:rPr>
  </w:style>
  <w:style w:type="paragraph" w:customStyle="1" w:styleId="17">
    <w:name w:val="样式1"/>
    <w:basedOn w:val="1"/>
    <w:qFormat/>
    <w:uiPriority w:val="0"/>
    <w:pPr>
      <w:widowControl/>
      <w:jc w:val="left"/>
      <w:outlineLvl w:val="0"/>
    </w:pPr>
    <w:rPr>
      <w:rFonts w:hint="eastAsia" w:ascii="黑体" w:hAnsi="黑体" w:eastAsia="黑体" w:cs="黑体"/>
      <w:kern w:val="0"/>
      <w:szCs w:val="32"/>
      <w:lang w:bidi="ar"/>
    </w:rPr>
  </w:style>
  <w:style w:type="paragraph" w:customStyle="1" w:styleId="18">
    <w:name w:val="黑体三号"/>
    <w:basedOn w:val="1"/>
    <w:qFormat/>
    <w:uiPriority w:val="0"/>
    <w:pPr>
      <w:widowControl/>
      <w:jc w:val="left"/>
      <w:outlineLvl w:val="0"/>
    </w:pPr>
    <w:rPr>
      <w:rFonts w:hint="eastAsia" w:ascii="黑体" w:hAnsi="黑体" w:eastAsia="黑体" w:cs="黑体"/>
      <w:kern w:val="0"/>
      <w:szCs w:val="32"/>
      <w:lang w:bidi="ar"/>
    </w:rPr>
  </w:style>
  <w:style w:type="paragraph" w:customStyle="1" w:styleId="19">
    <w:name w:val="楷体加粗三号"/>
    <w:basedOn w:val="1"/>
    <w:qFormat/>
    <w:uiPriority w:val="0"/>
    <w:pPr>
      <w:widowControl/>
      <w:jc w:val="left"/>
      <w:outlineLvl w:val="1"/>
    </w:pPr>
    <w:rPr>
      <w:rFonts w:hint="eastAsia" w:ascii="楷体" w:hAnsi="楷体" w:eastAsia="楷体" w:cs="楷体"/>
      <w:b/>
      <w:bCs/>
      <w:kern w:val="0"/>
      <w:szCs w:val="32"/>
      <w:lang w:bidi="ar"/>
    </w:rPr>
  </w:style>
  <w:style w:type="paragraph" w:customStyle="1" w:styleId="20">
    <w:name w:val="仿宋三号正文"/>
    <w:basedOn w:val="1"/>
    <w:qFormat/>
    <w:uiPriority w:val="0"/>
    <w:pPr>
      <w:widowControl/>
      <w:jc w:val="left"/>
    </w:pPr>
    <w:rPr>
      <w:rFonts w:hint="eastAsia" w:ascii="仿宋" w:hAnsi="仿宋" w:cs="仿宋"/>
      <w:kern w:val="0"/>
      <w:szCs w:val="32"/>
      <w:lang w:bidi="ar"/>
    </w:rPr>
  </w:style>
  <w:style w:type="paragraph" w:customStyle="1" w:styleId="21">
    <w:name w:val="（符号）三标题1.1"/>
    <w:basedOn w:val="1"/>
    <w:qFormat/>
    <w:uiPriority w:val="0"/>
    <w:pPr>
      <w:numPr>
        <w:ilvl w:val="1"/>
        <w:numId w:val="1"/>
      </w:numPr>
      <w:spacing w:line="500" w:lineRule="exact"/>
    </w:pPr>
    <w:rPr>
      <w:rFonts w:ascii="宋体" w:hAnsi="宋体"/>
      <w:sz w:val="24"/>
    </w:rPr>
  </w:style>
  <w:style w:type="paragraph" w:customStyle="1" w:styleId="22">
    <w:name w:val="Table Paragraph"/>
    <w:basedOn w:val="1"/>
    <w:qFormat/>
    <w:uiPriority w:val="1"/>
    <w:rPr>
      <w:rFonts w:ascii="宋体" w:hAnsi="宋体" w:eastAsia="宋体" w:cs="宋体"/>
      <w:lang w:val="en-US" w:eastAsia="zh-CN" w:bidi="ar-SA"/>
    </w:r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66</Pages>
  <Words>4115</Words>
  <Characters>4285</Characters>
  <Lines>0</Lines>
  <Paragraphs>0</Paragraphs>
  <TotalTime>2</TotalTime>
  <ScaleCrop>false</ScaleCrop>
  <LinksUpToDate>false</LinksUpToDate>
  <CharactersWithSpaces>4299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2025-01-08T03:23:00Z</dcterms:created>
  <dc:creator>工程技术部</dc:creator>
  <cp:lastModifiedBy>小&amp;杰</cp:lastModifiedBy>
  <dcterms:modified xsi:type="dcterms:W3CDTF">2026-03-02T09:02:25Z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28B6D61BE7314EBBB35EC12A7D8960BB_12</vt:lpwstr>
  </property>
  <property fmtid="{D5CDD505-2E9C-101B-9397-08002B2CF9AE}" pid="4" name="KSOTemplateDocerSaveRecord">
    <vt:lpwstr>eyJoZGlkIjoiZGQ3OTEwODkzYmMyZmRjODJlNDY3YzQyYzdmMTYyZjAiLCJ1c2VySWQiOiIzNDY3NDYyNDkifQ==</vt:lpwstr>
  </property>
</Properties>
</file>