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7F3">
      <w:pPr>
        <w:spacing w:line="800" w:lineRule="exact"/>
        <w:ind w:right="-33"/>
        <w:rPr>
          <w:rFonts w:hint="eastAsia" w:ascii="黑体" w:hAnsi="黑体" w:eastAsia="黑体" w:cs="黑体"/>
          <w:b/>
          <w:w w:val="90"/>
          <w:kern w:val="52"/>
          <w:sz w:val="68"/>
          <w:szCs w:val="68"/>
        </w:rPr>
      </w:pPr>
    </w:p>
    <w:p w14:paraId="015B7448">
      <w:pPr>
        <w:spacing w:line="800" w:lineRule="exact"/>
        <w:ind w:right="-33"/>
        <w:rPr>
          <w:rFonts w:hint="eastAsia" w:ascii="黑体" w:hAnsi="黑体" w:eastAsia="黑体" w:cs="黑体"/>
          <w:b/>
          <w:w w:val="90"/>
          <w:kern w:val="52"/>
          <w:sz w:val="68"/>
          <w:szCs w:val="68"/>
        </w:rPr>
      </w:pPr>
    </w:p>
    <w:p w14:paraId="334DC0C1">
      <w:pPr>
        <w:spacing w:line="800" w:lineRule="exact"/>
        <w:ind w:right="-33"/>
        <w:rPr>
          <w:rFonts w:hint="eastAsia"/>
          <w:sz w:val="68"/>
          <w:szCs w:val="68"/>
        </w:rPr>
      </w:pPr>
    </w:p>
    <w:p w14:paraId="0A1D5549">
      <w:pPr>
        <w:spacing w:line="800" w:lineRule="exact"/>
        <w:ind w:right="-33"/>
        <w:rPr>
          <w:rFonts w:hint="eastAsia"/>
          <w:sz w:val="56"/>
          <w:szCs w:val="56"/>
        </w:rPr>
      </w:pPr>
    </w:p>
    <w:p w14:paraId="363896ED">
      <w:pPr>
        <w:spacing w:line="288" w:lineRule="auto"/>
        <w:ind w:right="-163"/>
        <w:jc w:val="center"/>
        <w:rPr>
          <w:rFonts w:hint="eastAsia" w:ascii="黑体" w:hAnsi="黑体" w:eastAsia="黑体" w:cs="黑体"/>
          <w:b/>
          <w:w w:val="90"/>
          <w:kern w:val="52"/>
          <w:sz w:val="56"/>
          <w:szCs w:val="56"/>
          <w:lang w:val="en-US" w:eastAsia="zh-CN"/>
        </w:rPr>
      </w:pPr>
      <w:r>
        <w:rPr>
          <w:rFonts w:hint="eastAsia" w:ascii="黑体" w:hAnsi="黑体" w:eastAsia="黑体" w:cs="黑体"/>
          <w:b/>
          <w:w w:val="90"/>
          <w:kern w:val="52"/>
          <w:sz w:val="56"/>
          <w:szCs w:val="56"/>
          <w:lang w:val="en-US" w:eastAsia="zh-CN"/>
        </w:rPr>
        <w:t>张家口霖辉物业管理集团有限公司</w:t>
      </w:r>
    </w:p>
    <w:p w14:paraId="193AB34B">
      <w:pPr>
        <w:spacing w:line="288" w:lineRule="auto"/>
        <w:ind w:right="-163"/>
        <w:jc w:val="center"/>
        <w:rPr>
          <w:rFonts w:hint="default" w:ascii="楷体" w:hAnsi="楷体" w:eastAsia="楷体" w:cs="楷体_GB2312"/>
          <w:b/>
          <w:w w:val="90"/>
          <w:kern w:val="52"/>
          <w:sz w:val="56"/>
          <w:szCs w:val="56"/>
          <w:lang w:val="en-US" w:eastAsia="zh-CN"/>
        </w:rPr>
      </w:pPr>
      <w:r>
        <w:rPr>
          <w:rFonts w:hint="eastAsia" w:ascii="黑体" w:hAnsi="黑体" w:eastAsia="黑体" w:cs="黑体"/>
          <w:b/>
          <w:w w:val="90"/>
          <w:kern w:val="52"/>
          <w:sz w:val="56"/>
          <w:szCs w:val="56"/>
          <w:lang w:val="en-US" w:eastAsia="zh-CN"/>
        </w:rPr>
        <w:t>张家口产业投资控股集团有限公司综合服务项目</w:t>
      </w:r>
    </w:p>
    <w:p w14:paraId="7CCFA999">
      <w:pPr>
        <w:pStyle w:val="6"/>
        <w:spacing w:line="288" w:lineRule="auto"/>
        <w:outlineLvl w:val="9"/>
        <w:rPr>
          <w:rFonts w:hint="eastAsia" w:ascii="楷体" w:hAnsi="楷体" w:eastAsia="楷体" w:cs="楷体_GB2312"/>
          <w:sz w:val="56"/>
          <w:szCs w:val="56"/>
        </w:rPr>
      </w:pPr>
    </w:p>
    <w:p w14:paraId="46A386FD">
      <w:pPr>
        <w:pStyle w:val="6"/>
        <w:spacing w:line="288" w:lineRule="auto"/>
        <w:outlineLvl w:val="9"/>
        <w:rPr>
          <w:rFonts w:hint="eastAsia" w:ascii="楷体" w:hAnsi="楷体" w:eastAsia="楷体" w:cs="楷体_GB2312"/>
          <w:sz w:val="56"/>
          <w:szCs w:val="56"/>
        </w:rPr>
      </w:pPr>
    </w:p>
    <w:p w14:paraId="0D7EBF36">
      <w:pPr>
        <w:pStyle w:val="6"/>
        <w:tabs>
          <w:tab w:val="left" w:pos="900"/>
          <w:tab w:val="clear" w:pos="562"/>
          <w:tab w:val="clear" w:pos="3372"/>
          <w:tab w:val="clear" w:pos="3653"/>
        </w:tabs>
        <w:spacing w:line="288" w:lineRule="auto"/>
        <w:jc w:val="center"/>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23807"/>
      <w:bookmarkStart w:id="1" w:name="_Toc17339"/>
      <w:bookmarkStart w:id="2" w:name="_Toc11489"/>
      <w:bookmarkStart w:id="3" w:name="_Toc27553"/>
      <w:bookmarkStart w:id="4" w:name="_Toc31976"/>
      <w:bookmarkStart w:id="5" w:name="_Toc19047"/>
      <w:bookmarkStart w:id="6" w:name="_Toc10192"/>
      <w:bookmarkStart w:id="7" w:name="_Toc8189"/>
      <w:bookmarkStart w:id="8" w:name="_Toc516235271"/>
      <w:bookmarkStart w:id="9" w:name="_Toc10990"/>
      <w:bookmarkStart w:id="10" w:name="_Toc16161"/>
      <w:bookmarkStart w:id="11" w:name="_Toc11733"/>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07EC5C95">
      <w:pPr>
        <w:pStyle w:val="6"/>
        <w:spacing w:line="288" w:lineRule="auto"/>
        <w:jc w:val="center"/>
        <w:outlineLvl w:val="9"/>
        <w:rPr>
          <w:rFonts w:hint="eastAsia" w:ascii="黑体" w:hAnsi="黑体" w:eastAsia="黑体" w:cs="黑体"/>
          <w:b/>
          <w:bCs/>
          <w:sz w:val="30"/>
          <w:szCs w:val="30"/>
          <w:lang w:eastAsia="zh-CN"/>
        </w:rPr>
      </w:pPr>
    </w:p>
    <w:p w14:paraId="76541BCB">
      <w:pPr>
        <w:pStyle w:val="6"/>
        <w:spacing w:line="288" w:lineRule="auto"/>
        <w:outlineLvl w:val="9"/>
        <w:rPr>
          <w:rFonts w:hint="eastAsia" w:ascii="黑体" w:hAnsi="黑体" w:eastAsia="黑体" w:cs="黑体"/>
          <w:sz w:val="30"/>
          <w:szCs w:val="30"/>
        </w:rPr>
      </w:pPr>
    </w:p>
    <w:p w14:paraId="05C75075">
      <w:pPr>
        <w:pStyle w:val="6"/>
        <w:spacing w:line="288" w:lineRule="auto"/>
        <w:outlineLvl w:val="9"/>
        <w:rPr>
          <w:rFonts w:hint="eastAsia" w:ascii="黑体" w:hAnsi="黑体" w:eastAsia="黑体" w:cs="黑体"/>
          <w:sz w:val="30"/>
          <w:szCs w:val="30"/>
        </w:rPr>
      </w:pPr>
    </w:p>
    <w:p w14:paraId="3BD4FF49">
      <w:pPr>
        <w:pStyle w:val="6"/>
        <w:spacing w:line="288" w:lineRule="auto"/>
        <w:outlineLvl w:val="9"/>
        <w:rPr>
          <w:rFonts w:hint="eastAsia" w:ascii="黑体" w:hAnsi="黑体" w:eastAsia="黑体" w:cs="黑体"/>
          <w:sz w:val="30"/>
          <w:szCs w:val="30"/>
        </w:rPr>
      </w:pPr>
    </w:p>
    <w:p w14:paraId="097087CF">
      <w:pPr>
        <w:pStyle w:val="6"/>
        <w:spacing w:line="288" w:lineRule="auto"/>
        <w:outlineLvl w:val="9"/>
        <w:rPr>
          <w:rFonts w:hint="eastAsia" w:ascii="黑体" w:hAnsi="黑体" w:eastAsia="黑体" w:cs="黑体"/>
          <w:sz w:val="30"/>
          <w:szCs w:val="30"/>
        </w:rPr>
      </w:pPr>
    </w:p>
    <w:p w14:paraId="47BDD543">
      <w:pPr>
        <w:pStyle w:val="6"/>
        <w:spacing w:line="800" w:lineRule="exact"/>
        <w:outlineLvl w:val="9"/>
        <w:rPr>
          <w:rFonts w:hint="eastAsia" w:ascii="黑体" w:hAnsi="黑体" w:eastAsia="黑体" w:cs="黑体"/>
          <w:b/>
          <w:bCs/>
          <w:sz w:val="32"/>
          <w:szCs w:val="32"/>
        </w:rPr>
      </w:pPr>
      <w:bookmarkStart w:id="12" w:name="_Toc19507"/>
      <w:bookmarkStart w:id="13" w:name="_Toc7426"/>
      <w:bookmarkStart w:id="14" w:name="_Toc25456"/>
      <w:bookmarkStart w:id="15" w:name="_Toc516235273"/>
      <w:bookmarkStart w:id="16" w:name="_Toc24700"/>
      <w:bookmarkStart w:id="17" w:name="_Toc26372"/>
      <w:bookmarkStart w:id="18" w:name="_Toc3316"/>
      <w:bookmarkStart w:id="19" w:name="_Toc3374"/>
      <w:bookmarkStart w:id="20" w:name="_Toc28497"/>
      <w:bookmarkStart w:id="21" w:name="_Toc21566"/>
      <w:bookmarkStart w:id="22" w:name="_Toc15976"/>
      <w:bookmarkStart w:id="23" w:name="_Toc19294"/>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p>
    <w:p w14:paraId="00FC3AE0">
      <w:pPr>
        <w:pStyle w:val="6"/>
        <w:spacing w:line="800" w:lineRule="exact"/>
        <w:outlineLvl w:val="9"/>
        <w:rPr>
          <w:rFonts w:hint="eastAsia" w:ascii="黑体" w:hAnsi="黑体" w:eastAsia="黑体" w:cs="黑体"/>
          <w:b/>
          <w:bCs/>
          <w:sz w:val="32"/>
          <w:szCs w:val="32"/>
        </w:rPr>
      </w:pPr>
      <w:bookmarkStart w:id="24" w:name="_Toc2171"/>
      <w:bookmarkStart w:id="25" w:name="_Toc28335"/>
      <w:bookmarkStart w:id="26" w:name="_Toc11538"/>
      <w:bookmarkStart w:id="27" w:name="_Toc20462"/>
      <w:bookmarkStart w:id="28" w:name="_Toc16456"/>
      <w:bookmarkStart w:id="29" w:name="_Toc2112"/>
      <w:bookmarkStart w:id="30" w:name="_Toc11462"/>
      <w:bookmarkStart w:id="31" w:name="_Toc22648"/>
      <w:bookmarkStart w:id="32" w:name="_Toc516235275"/>
      <w:bookmarkStart w:id="33" w:name="_Toc10996"/>
      <w:bookmarkStart w:id="34" w:name="_Toc26166"/>
      <w:bookmarkStart w:id="35" w:name="_Toc30236"/>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1FF655B2">
      <w:pPr>
        <w:outlineLvl w:val="9"/>
        <w:rPr>
          <w:rFonts w:hint="eastAsia"/>
          <w:b w:val="0"/>
          <w:bCs w:val="0"/>
          <w:color w:val="000000"/>
        </w:rPr>
      </w:pPr>
      <w:r>
        <w:rPr>
          <w:rFonts w:hint="eastAsia"/>
          <w:b w:val="0"/>
          <w:bCs w:val="0"/>
          <w:color w:val="000000"/>
        </w:rPr>
        <w:br w:type="page"/>
      </w:r>
    </w:p>
    <w:p w14:paraId="4A211529">
      <w:pPr>
        <w:pStyle w:val="2"/>
        <w:spacing w:line="360" w:lineRule="exact"/>
        <w:rPr>
          <w:rFonts w:hint="eastAsia"/>
          <w:b w:val="0"/>
          <w:bCs w:val="0"/>
          <w:color w:val="000000"/>
        </w:rPr>
      </w:pPr>
      <w:r>
        <w:rPr>
          <w:rFonts w:hint="eastAsia"/>
          <w:b w:val="0"/>
          <w:bCs w:val="0"/>
          <w:color w:val="000000"/>
        </w:rPr>
        <w:t>第一部分</w:t>
      </w:r>
      <w:r>
        <w:rPr>
          <w:rFonts w:hint="eastAsia"/>
          <w:b w:val="0"/>
          <w:bCs w:val="0"/>
          <w:color w:val="000000"/>
          <w:lang w:val="en-US" w:eastAsia="zh-CN"/>
        </w:rPr>
        <w:t xml:space="preserve">  询比</w:t>
      </w:r>
      <w:r>
        <w:rPr>
          <w:rFonts w:hint="eastAsia"/>
          <w:b w:val="0"/>
          <w:bCs w:val="0"/>
          <w:color w:val="000000"/>
        </w:rPr>
        <w:t>邀请函</w:t>
      </w:r>
    </w:p>
    <w:p w14:paraId="6746092F">
      <w:pPr>
        <w:pStyle w:val="9"/>
        <w:spacing w:line="420" w:lineRule="exact"/>
        <w:rPr>
          <w:rFonts w:hint="eastAsia"/>
          <w:color w:val="000000"/>
        </w:rPr>
      </w:pPr>
    </w:p>
    <w:p w14:paraId="3D6376CB">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一、项目名称：张家口产业投资控股集团有限公司综合服务服务项目</w:t>
      </w:r>
    </w:p>
    <w:p w14:paraId="31DF3951">
      <w:pPr>
        <w:keepNext w:val="0"/>
        <w:keepLines w:val="0"/>
        <w:pageBreakBefore w:val="0"/>
        <w:widowControl w:val="0"/>
        <w:kinsoku/>
        <w:wordWrap/>
        <w:overflowPunct/>
        <w:topLinePunct w:val="0"/>
        <w:autoSpaceDE/>
        <w:autoSpaceDN/>
        <w:bidi w:val="0"/>
        <w:adjustRightInd/>
        <w:snapToGrid/>
        <w:spacing w:before="182"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二、采购内容：本项目主要是保证张家口产业投资控股集团有限公司开展的物业综合服务工作，内容包括秩序维护服务、小型维修服务及消防值机服务。</w:t>
      </w:r>
    </w:p>
    <w:p w14:paraId="0188136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三、邀请询比采购文件编号：ctzhfw-01</w:t>
      </w:r>
    </w:p>
    <w:p w14:paraId="219E961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四、采购方式：询比采购</w:t>
      </w:r>
    </w:p>
    <w:p w14:paraId="73E03C5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五、服务地点：采购人指定地点</w:t>
      </w:r>
    </w:p>
    <w:p w14:paraId="4996C3F3">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六、询比文件发售时间</w:t>
      </w:r>
    </w:p>
    <w:p w14:paraId="1F8A42F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FF00FF"/>
          <w:sz w:val="24"/>
          <w:szCs w:val="24"/>
          <w:highlight w:val="none"/>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日（周六、周日除外）北京时间9：30-11：30，14：00-16：30。</w:t>
      </w:r>
    </w:p>
    <w:p w14:paraId="5E75A01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2.供应商资格要求：</w:t>
      </w:r>
    </w:p>
    <w:p w14:paraId="0BA8505A">
      <w:pPr>
        <w:pStyle w:val="5"/>
        <w:keepNext w:val="0"/>
        <w:keepLines w:val="0"/>
        <w:pageBreakBefore w:val="0"/>
        <w:kinsoku/>
        <w:wordWrap/>
        <w:overflowPunct/>
        <w:topLinePunct w:val="0"/>
        <w:bidi w:val="0"/>
        <w:snapToGrid w:val="0"/>
        <w:spacing w:line="560" w:lineRule="exact"/>
        <w:ind w:left="0" w:lef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3.供应商报名要求：</w:t>
      </w:r>
    </w:p>
    <w:p w14:paraId="4B803A7E">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keepNext w:val="0"/>
        <w:keepLines w:val="0"/>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注：1、以上资料需携带原件和加盖公章的A4纸复印件2套，到张家口</w:t>
      </w:r>
      <w:r>
        <w:rPr>
          <w:rFonts w:hint="eastAsia" w:asciiTheme="minorEastAsia" w:hAnsiTheme="minorEastAsia" w:eastAsiaTheme="minorEastAsia" w:cstheme="minorEastAsia"/>
          <w:b/>
          <w:sz w:val="24"/>
          <w:szCs w:val="24"/>
          <w:lang w:val="en-US" w:eastAsia="zh-CN"/>
        </w:rPr>
        <w:t>霖辉物业管理集团</w:t>
      </w:r>
      <w:r>
        <w:rPr>
          <w:rFonts w:hint="eastAsia" w:asciiTheme="minorEastAsia" w:hAnsiTheme="minorEastAsia" w:eastAsiaTheme="minorEastAsia" w:cstheme="minorEastAsia"/>
          <w:b/>
          <w:sz w:val="24"/>
          <w:szCs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szCs w:val="24"/>
        </w:rPr>
        <w:t>本项目不接受联合体投标。</w:t>
      </w:r>
    </w:p>
    <w:p w14:paraId="5A8C4C80">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4.投标报名地点：张家口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636425BA">
      <w:pPr>
        <w:keepNext w:val="0"/>
        <w:keepLines w:val="0"/>
        <w:pageBreakBefore w:val="0"/>
        <w:numPr>
          <w:ilvl w:val="0"/>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szCs w:val="24"/>
        </w:rPr>
        <w:t>项目采购预算：</w:t>
      </w:r>
      <w:r>
        <w:rPr>
          <w:rFonts w:hint="eastAsia" w:asciiTheme="minorEastAsia" w:hAnsiTheme="minorEastAsia" w:eastAsiaTheme="minorEastAsia" w:cstheme="minorEastAsia"/>
          <w:b/>
          <w:sz w:val="24"/>
          <w:szCs w:val="24"/>
          <w:highlight w:val="red"/>
        </w:rPr>
        <w:t>人民币</w:t>
      </w:r>
      <w:r>
        <w:rPr>
          <w:rFonts w:hint="eastAsia" w:asciiTheme="minorEastAsia" w:hAnsiTheme="minorEastAsia" w:eastAsiaTheme="minorEastAsia" w:cstheme="minorEastAsia"/>
          <w:b/>
          <w:sz w:val="24"/>
          <w:szCs w:val="24"/>
          <w:highlight w:val="red"/>
          <w:lang w:val="en-US" w:eastAsia="zh-CN"/>
        </w:rPr>
        <w:t>980000</w:t>
      </w:r>
      <w:r>
        <w:rPr>
          <w:rFonts w:hint="eastAsia" w:asciiTheme="minorEastAsia" w:hAnsiTheme="minorEastAsia" w:eastAsiaTheme="minorEastAsia" w:cstheme="minorEastAsia"/>
          <w:b/>
          <w:sz w:val="24"/>
          <w:szCs w:val="24"/>
          <w:highlight w:val="red"/>
        </w:rPr>
        <w:t>元</w:t>
      </w:r>
    </w:p>
    <w:p w14:paraId="2C273F5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九、资格审查方式：资格后审</w:t>
      </w:r>
    </w:p>
    <w:p w14:paraId="23D4BCB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十、报价方式：总报价</w:t>
      </w:r>
    </w:p>
    <w:p w14:paraId="37355BA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、询比采购投标文件递交截止暨开标时间：</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12</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22</w:t>
      </w:r>
      <w:r>
        <w:rPr>
          <w:rFonts w:hint="eastAsia" w:asciiTheme="minorEastAsia" w:hAnsiTheme="minorEastAsia" w:eastAsiaTheme="minorEastAsia" w:cstheme="minorEastAsia"/>
          <w:b/>
          <w:sz w:val="24"/>
          <w:szCs w:val="24"/>
          <w:highlight w:val="none"/>
        </w:rPr>
        <w:t>日北京时间</w:t>
      </w:r>
      <w:r>
        <w:rPr>
          <w:rFonts w:hint="eastAsia" w:asciiTheme="minorEastAsia" w:hAnsiTheme="minorEastAsia" w:eastAsiaTheme="minorEastAsia" w:cstheme="minorEastAsia"/>
          <w:b/>
          <w:sz w:val="24"/>
          <w:szCs w:val="24"/>
          <w:highlight w:val="none"/>
          <w:lang w:val="en-US" w:eastAsia="zh-CN"/>
        </w:rPr>
        <w:t>15：00</w:t>
      </w:r>
    </w:p>
    <w:p w14:paraId="3DE6053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十二、开标地点：张家口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0660017D">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十三、评标地点：张家口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53861F64">
      <w:pPr>
        <w:keepNext w:val="0"/>
        <w:keepLines w:val="0"/>
        <w:pageBreakBefore w:val="0"/>
        <w:kinsoku/>
        <w:wordWrap/>
        <w:overflowPunct/>
        <w:topLinePunct w:val="0"/>
        <w:bidi w:val="0"/>
        <w:spacing w:line="560" w:lineRule="exact"/>
        <w:ind w:firstLine="472"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逾期收到或未按邀请询比采购文件要求予以标记和密封的询比采购投标文件恕不接受。</w:t>
      </w:r>
    </w:p>
    <w:p w14:paraId="0DEFA9F2">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w:t>
      </w:r>
    </w:p>
    <w:p w14:paraId="2438C40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p>
    <w:p w14:paraId="30EFFE5A">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0313-</w:t>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lang w:val="en-US" w:eastAsia="zh-CN"/>
        </w:rPr>
        <w:t>87863</w:t>
      </w:r>
    </w:p>
    <w:p w14:paraId="51EA2D4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李晓杰</w:t>
      </w:r>
    </w:p>
    <w:p w14:paraId="05987071">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5481F5C1">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第二部分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招标项目内容及要求</w:t>
      </w:r>
    </w:p>
    <w:p w14:paraId="1215E319">
      <w:pPr>
        <w:pageBreakBefore w:val="0"/>
        <w:kinsoku/>
        <w:wordWrap/>
        <w:overflowPunct/>
        <w:topLinePunct w:val="0"/>
        <w:bidi w:val="0"/>
        <w:spacing w:line="560" w:lineRule="exact"/>
        <w:jc w:val="center"/>
        <w:textAlignment w:val="auto"/>
        <w:outlineLvl w:val="9"/>
        <w:rPr>
          <w:rFonts w:hint="eastAsia" w:asciiTheme="minorEastAsia" w:hAnsiTheme="minorEastAsia" w:eastAsiaTheme="minorEastAsia" w:cstheme="minorEastAsia"/>
          <w:b w:val="0"/>
          <w:bCs w:val="0"/>
          <w:color w:val="000000"/>
          <w:sz w:val="24"/>
          <w:szCs w:val="24"/>
          <w:lang w:val="en-US" w:eastAsia="zh-CN"/>
        </w:rPr>
      </w:pPr>
    </w:p>
    <w:p w14:paraId="0AA18552">
      <w:pPr>
        <w:pStyle w:val="22"/>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一、服务内容</w:t>
      </w:r>
    </w:p>
    <w:p w14:paraId="5B7542A4">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秩序维护服务：“产投大厦”门卫和日常巡逻、防盗等报警监控运行管理，车辆、道路及公共秩序维护，防汛、治安及其它突发事件处理等。</w:t>
      </w:r>
    </w:p>
    <w:p w14:paraId="20FD25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spacing w:val="-3"/>
          <w:sz w:val="24"/>
          <w:szCs w:val="24"/>
        </w:rPr>
      </w:pPr>
      <w:r>
        <w:rPr>
          <w:rFonts w:hint="eastAsia" w:asciiTheme="minorEastAsia" w:hAnsiTheme="minorEastAsia" w:eastAsiaTheme="minorEastAsia" w:cstheme="minorEastAsia"/>
          <w:sz w:val="24"/>
          <w:szCs w:val="24"/>
          <w:lang w:val="en-US" w:eastAsia="zh-CN"/>
        </w:rPr>
        <w:t>小型维修服务：“产投大厦”</w:t>
      </w:r>
      <w:r>
        <w:rPr>
          <w:rFonts w:ascii="宋体" w:hAnsi="宋体" w:eastAsia="宋体" w:cs="宋体"/>
          <w:spacing w:val="-3"/>
          <w:sz w:val="24"/>
          <w:szCs w:val="24"/>
        </w:rPr>
        <w:t>房屋建筑物部件、附属构筑物的地面、墙面、台面</w:t>
      </w:r>
      <w:r>
        <w:rPr>
          <w:rFonts w:ascii="宋体" w:hAnsi="宋体" w:eastAsia="宋体" w:cs="宋体"/>
          <w:spacing w:val="-4"/>
          <w:sz w:val="24"/>
          <w:szCs w:val="24"/>
        </w:rPr>
        <w:t>以及吊顶、门窗、楼梯、</w:t>
      </w:r>
      <w:r>
        <w:rPr>
          <w:rFonts w:ascii="宋体" w:hAnsi="宋体" w:eastAsia="宋体" w:cs="宋体"/>
          <w:sz w:val="24"/>
          <w:szCs w:val="24"/>
        </w:rPr>
        <w:t xml:space="preserve"> </w:t>
      </w:r>
      <w:r>
        <w:rPr>
          <w:rFonts w:ascii="宋体" w:hAnsi="宋体" w:eastAsia="宋体" w:cs="宋体"/>
          <w:spacing w:val="-3"/>
          <w:sz w:val="24"/>
          <w:szCs w:val="24"/>
        </w:rPr>
        <w:t>通风道等的日常养护及维修</w:t>
      </w:r>
      <w:r>
        <w:rPr>
          <w:rFonts w:hint="eastAsia" w:ascii="宋体" w:hAnsi="宋体" w:cs="宋体"/>
          <w:spacing w:val="-3"/>
          <w:sz w:val="24"/>
          <w:szCs w:val="24"/>
          <w:lang w:eastAsia="zh-CN"/>
        </w:rPr>
        <w:t>；</w:t>
      </w:r>
      <w:r>
        <w:rPr>
          <w:rFonts w:hint="eastAsia" w:ascii="宋体" w:hAnsi="宋体" w:cs="宋体"/>
          <w:spacing w:val="-3"/>
          <w:sz w:val="24"/>
          <w:szCs w:val="24"/>
          <w:lang w:val="en-US" w:eastAsia="zh-CN"/>
        </w:rPr>
        <w:t>供电设备、</w:t>
      </w:r>
      <w:r>
        <w:rPr>
          <w:rFonts w:hint="eastAsia" w:asciiTheme="minorEastAsia" w:hAnsiTheme="minorEastAsia" w:eastAsiaTheme="minorEastAsia" w:cstheme="minorEastAsia"/>
          <w:sz w:val="24"/>
          <w:szCs w:val="24"/>
          <w:lang w:val="en-US" w:eastAsia="zh-CN"/>
        </w:rPr>
        <w:t>电器照明装置等的日常管理和养护维修及避雷检测工作；</w:t>
      </w:r>
      <w:r>
        <w:rPr>
          <w:rFonts w:ascii="宋体" w:hAnsi="宋体" w:eastAsia="宋体" w:cs="宋体"/>
          <w:spacing w:val="-2"/>
          <w:sz w:val="24"/>
          <w:szCs w:val="24"/>
        </w:rPr>
        <w:t>房屋内外给排水系统的供水管路、排水管等设</w:t>
      </w:r>
      <w:r>
        <w:rPr>
          <w:rFonts w:ascii="宋体" w:hAnsi="宋体" w:eastAsia="宋体" w:cs="宋体"/>
          <w:spacing w:val="-3"/>
          <w:sz w:val="24"/>
          <w:szCs w:val="24"/>
        </w:rPr>
        <w:t>备设施的日常养护及维修。</w:t>
      </w:r>
    </w:p>
    <w:p w14:paraId="062D2185">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消防值机服务：</w:t>
      </w:r>
      <w:r>
        <w:rPr>
          <w:rFonts w:hint="eastAsia" w:ascii="宋体" w:hAnsi="宋体" w:eastAsia="宋体" w:cs="宋体"/>
          <w:spacing w:val="-4"/>
          <w:sz w:val="24"/>
          <w:szCs w:val="24"/>
        </w:rPr>
        <w:t>消控室人员实行24小时三班双岗制定。值班人员密切关注消防控制设备的运行状态，实时监测火灾报警信号、消防设备状态等。定期对设备进行巡检，检查设备是否正常运行，有无故障或异常情况。发现问题及时处理，并记录在值班日志中。接到火灾报警信号后，立即确认报警位置和情况。</w:t>
      </w:r>
    </w:p>
    <w:p w14:paraId="4803C3CE">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3"/>
          <w:sz w:val="24"/>
          <w:szCs w:val="24"/>
          <w:lang w:val="en-US" w:eastAsia="zh-CN"/>
        </w:rPr>
      </w:pPr>
      <w:r>
        <w:rPr>
          <w:rFonts w:hint="eastAsia" w:ascii="宋体" w:hAnsi="宋体" w:eastAsia="宋体" w:cs="宋体"/>
          <w:spacing w:val="-4"/>
          <w:sz w:val="24"/>
          <w:szCs w:val="24"/>
        </w:rPr>
        <w:t>消控人员做到熟练掌握消防控制设备的操作方法，能够正确操作设备进行灭火、排烟、疏散等。保持设备清洁，标识清晰，便于操作和识别。</w:t>
      </w:r>
    </w:p>
    <w:p w14:paraId="020293BD">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二、项目要求</w:t>
      </w:r>
    </w:p>
    <w:p w14:paraId="5EF0FE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秩序维护服务</w:t>
      </w:r>
    </w:p>
    <w:p w14:paraId="1B074E29">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接待来访人员</w:t>
      </w:r>
    </w:p>
    <w:p w14:paraId="218577AB">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主动询问，登记信息准确，及时联系被访人，准确核实工作人员身份。</w:t>
      </w:r>
    </w:p>
    <w:p w14:paraId="3E6C1E19">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车辆引导</w:t>
      </w:r>
    </w:p>
    <w:p w14:paraId="30D3A058">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快速完成动作指示，保证车辆登记信息准确，收费计算无误且流程操作及时，及时处理违规停车问题。</w:t>
      </w:r>
    </w:p>
    <w:p w14:paraId="08285564">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巡逻</w:t>
      </w:r>
    </w:p>
    <w:p w14:paraId="70E3F1B9">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巡逻路线覆盖大厦重点区域，巡逻时间间隔符合规定，准确完整记录问题并及时上报，发现问题后迅速设置现场警示标识。</w:t>
      </w:r>
    </w:p>
    <w:p w14:paraId="094332E2">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监控室管理</w:t>
      </w:r>
    </w:p>
    <w:p w14:paraId="7203B608">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监控室值班人员需</w:t>
      </w:r>
      <w:r>
        <w:rPr>
          <w:rFonts w:hint="eastAsia" w:ascii="宋体" w:hAnsi="宋体" w:eastAsia="宋体" w:cs="宋体"/>
          <w:spacing w:val="-4"/>
          <w:sz w:val="24"/>
          <w:szCs w:val="24"/>
        </w:rPr>
        <w:t>时时对监控画面进行巡检，查看各摄像头画面是否清晰、正常运行。对重要区域（如出入口、财务室等）进行重点监控关注。当发现异常情况（如盗窃、打斗等）时，立即通过对讲机通知附近巡逻人员和相关负责人前往现场查看处理。同时对异常情况发生过程进行录像保存，以便后续查看分析。定期对监控录像数据进行备份存储，按照规定期限保存录像资料。</w:t>
      </w:r>
    </w:p>
    <w:p w14:paraId="25FBA4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小型维修服务</w:t>
      </w:r>
    </w:p>
    <w:p w14:paraId="41DD84F6">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1、房屋建筑物部件、附属构筑物的地面、墙面、台面以及吊顶、门窗、楼梯、通风道等的日常养护及维修。及时完成零修、小修，并做好检修维护记录。</w:t>
      </w:r>
    </w:p>
    <w:p w14:paraId="6A42B0E6">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2、房屋内外给排水系统的供水管路、排水管等设备设施的日常养护及维修。确保设备、阀门、管道正常，无跑冒滴漏现象。保证室内外排水系统通畅。及时完成零修、小修，并做好检修维护记录。</w:t>
      </w:r>
    </w:p>
    <w:p w14:paraId="1B895819">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电器照明装置日常管理和养护维修。定期巡视维护供电范围内的电气设备，加强对配电箱、控制柜及线路的重点检测，确保公共照明、指示灯具线路、开关保持完好和安全使用。及时完成零修、小修，并做好检修维护记录。</w:t>
      </w:r>
    </w:p>
    <w:p w14:paraId="085324D3">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供暖设备、管道的日常养护维修。定期巡检供暖系统及其辅助设备，确保各类设备、仪器仪表、水管路线运行正常，及时排查和消除设备安全隐患和水管跑冒滴漏等问题。及时完成零修、小修，并做好检修维护记录。</w:t>
      </w:r>
    </w:p>
    <w:p w14:paraId="3AED32E9">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5、服务期间，设施设备损坏、失效，需要更换、维修的，由乙方出具书面报告书，经甲方现场确认后，单次维修材料费用在500元以上由甲方现场确认后负责支付；单次维修材料费用在500元以下由乙方负责支付，年度总计不超过20000元。</w:t>
      </w:r>
    </w:p>
    <w:p w14:paraId="6786840D">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6、</w:t>
      </w:r>
      <w:r>
        <w:rPr>
          <w:rFonts w:hint="default" w:ascii="宋体" w:hAnsi="宋体" w:eastAsia="宋体" w:cs="宋体"/>
          <w:spacing w:val="-4"/>
          <w:sz w:val="24"/>
          <w:szCs w:val="24"/>
          <w:lang w:val="en-US" w:eastAsia="zh-CN"/>
        </w:rPr>
        <w:t>保持发电机外表面及周围环境的清洁，在发电机机壳或内部都不允许放任何物件，要擦净泥沙、油污和尘土，以免阻碍散热，使发电机过热</w:t>
      </w:r>
      <w:r>
        <w:rPr>
          <w:rFonts w:hint="eastAsia" w:ascii="宋体" w:hAnsi="宋体" w:eastAsia="宋体" w:cs="宋体"/>
          <w:spacing w:val="-4"/>
          <w:sz w:val="24"/>
          <w:szCs w:val="24"/>
          <w:lang w:val="en-US" w:eastAsia="zh-CN"/>
        </w:rPr>
        <w:t>。</w:t>
      </w:r>
    </w:p>
    <w:p w14:paraId="20A979FB">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6、检查发电机各部件的紧固情况，包括螺丝、接线端子等，确保其固定牢靠，防止因松动导致的故障。</w:t>
      </w:r>
    </w:p>
    <w:p w14:paraId="161C2C64">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7、检查发电机的电气系统，包括电线、电缆、接线端子等，确保其连接良好，无破损或老化现象。检查电压、电流等参数是否在正常范围内，确保发电机的稳定输出。</w:t>
      </w:r>
    </w:p>
    <w:p w14:paraId="23F7769D">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8、对楼体进行避雷检测，检测项目涵盖接闪器、引下线、接地装置等，严格依据国家及行业现行相关标准执行，确保检测结果准确、完整。出具相关检测报告。</w:t>
      </w:r>
    </w:p>
    <w:p w14:paraId="112A4A2D">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9、定期对监控设备部件进行全面检查，包括设备日常巡检，及时发现并处理线路老化、摄像头模糊等问题；定期对设备进行清洁保养，确保设备运行环境良好；当设备出现故障时，乙方在接到通知后1小时内响应，2小时内到达现场维修，保障设备正常运行。</w:t>
      </w:r>
    </w:p>
    <w:p w14:paraId="765E37B8">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6FC81F0E">
      <w:pPr>
        <w:pStyle w:val="10"/>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1A454EE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5"/>
        <w:tblW w:w="9742" w:type="dxa"/>
        <w:tblInd w:w="114"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7"/>
        <w:gridCol w:w="823"/>
        <w:gridCol w:w="1807"/>
        <w:gridCol w:w="4465"/>
        <w:gridCol w:w="576"/>
        <w:gridCol w:w="860"/>
        <w:gridCol w:w="574"/>
        <w:gridCol w:w="10"/>
      </w:tblGrid>
      <w:tr w14:paraId="5236C48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627" w:type="dxa"/>
            <w:tcBorders>
              <w:tl2br w:val="nil"/>
              <w:tr2bl w:val="nil"/>
            </w:tcBorders>
            <w:shd w:val="clear" w:color="000000" w:fill="FFFFFF"/>
            <w:noWrap w:val="0"/>
            <w:vAlign w:val="center"/>
          </w:tcPr>
          <w:p w14:paraId="686D5E6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序号</w:t>
            </w:r>
          </w:p>
        </w:tc>
        <w:tc>
          <w:tcPr>
            <w:tcW w:w="823" w:type="dxa"/>
            <w:tcBorders>
              <w:tl2br w:val="nil"/>
              <w:tr2bl w:val="nil"/>
            </w:tcBorders>
            <w:shd w:val="clear" w:color="000000" w:fill="FFFFFF"/>
            <w:noWrap w:val="0"/>
            <w:vAlign w:val="center"/>
          </w:tcPr>
          <w:p w14:paraId="2394848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rPr>
              <w:t>评价内容</w:t>
            </w:r>
          </w:p>
        </w:tc>
        <w:tc>
          <w:tcPr>
            <w:tcW w:w="6272" w:type="dxa"/>
            <w:gridSpan w:val="2"/>
            <w:tcBorders>
              <w:tl2br w:val="nil"/>
              <w:tr2bl w:val="nil"/>
            </w:tcBorders>
            <w:shd w:val="clear" w:color="000000" w:fill="FFFFFF"/>
            <w:noWrap w:val="0"/>
            <w:vAlign w:val="center"/>
          </w:tcPr>
          <w:p w14:paraId="2045C40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b w:val="0"/>
                <w:bCs w:val="0"/>
                <w:sz w:val="24"/>
                <w:szCs w:val="24"/>
                <w:highlight w:val="none"/>
              </w:rPr>
              <w:t>绩效评价及标准</w:t>
            </w:r>
          </w:p>
        </w:tc>
        <w:tc>
          <w:tcPr>
            <w:tcW w:w="576" w:type="dxa"/>
            <w:tcBorders>
              <w:tl2br w:val="nil"/>
              <w:tr2bl w:val="nil"/>
            </w:tcBorders>
            <w:shd w:val="clear" w:color="000000" w:fill="FFFFFF"/>
            <w:noWrap w:val="0"/>
            <w:vAlign w:val="center"/>
          </w:tcPr>
          <w:p w14:paraId="4E63401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分值</w:t>
            </w:r>
          </w:p>
        </w:tc>
        <w:tc>
          <w:tcPr>
            <w:tcW w:w="860" w:type="dxa"/>
            <w:tcBorders>
              <w:tl2br w:val="nil"/>
              <w:tr2bl w:val="nil"/>
            </w:tcBorders>
            <w:shd w:val="clear" w:color="000000" w:fill="FFFFFF"/>
            <w:noWrap w:val="0"/>
            <w:vAlign w:val="center"/>
          </w:tcPr>
          <w:p w14:paraId="1D1DCB7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评分细则</w:t>
            </w:r>
          </w:p>
        </w:tc>
        <w:tc>
          <w:tcPr>
            <w:tcW w:w="584" w:type="dxa"/>
            <w:gridSpan w:val="2"/>
            <w:tcBorders>
              <w:tl2br w:val="nil"/>
              <w:tr2bl w:val="nil"/>
            </w:tcBorders>
            <w:shd w:val="clear" w:color="000000" w:fill="FFFFFF"/>
            <w:noWrap w:val="0"/>
            <w:vAlign w:val="center"/>
          </w:tcPr>
          <w:p w14:paraId="0895B65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扣分</w:t>
            </w:r>
          </w:p>
        </w:tc>
      </w:tr>
      <w:tr w14:paraId="1CD8D9A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restart"/>
            <w:tcBorders>
              <w:tl2br w:val="nil"/>
              <w:tr2bl w:val="nil"/>
            </w:tcBorders>
            <w:noWrap w:val="0"/>
            <w:vAlign w:val="center"/>
          </w:tcPr>
          <w:p w14:paraId="0B0EA5E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w:t>
            </w:r>
          </w:p>
        </w:tc>
        <w:tc>
          <w:tcPr>
            <w:tcW w:w="823" w:type="dxa"/>
            <w:vMerge w:val="restart"/>
            <w:tcBorders>
              <w:tl2br w:val="nil"/>
              <w:tr2bl w:val="nil"/>
            </w:tcBorders>
            <w:noWrap w:val="0"/>
            <w:vAlign w:val="center"/>
          </w:tcPr>
          <w:p w14:paraId="0559DDC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rPr>
            </w:pPr>
            <w:r>
              <w:rPr>
                <w:rFonts w:hint="eastAsia" w:asciiTheme="minorEastAsia" w:hAnsiTheme="minorEastAsia" w:cstheme="minorEastAsia"/>
                <w:b w:val="0"/>
                <w:bCs w:val="0"/>
                <w:i w:val="0"/>
                <w:iCs w:val="0"/>
                <w:color w:val="000000"/>
                <w:kern w:val="0"/>
                <w:sz w:val="24"/>
                <w:szCs w:val="24"/>
                <w:u w:val="none"/>
                <w:lang w:val="en-US" w:eastAsia="zh-CN" w:bidi="ar"/>
              </w:rPr>
              <w:t>岗位要求</w:t>
            </w:r>
          </w:p>
        </w:tc>
        <w:tc>
          <w:tcPr>
            <w:tcW w:w="6272" w:type="dxa"/>
            <w:gridSpan w:val="2"/>
            <w:tcBorders>
              <w:tl2br w:val="nil"/>
              <w:tr2bl w:val="nil"/>
            </w:tcBorders>
            <w:noWrap w:val="0"/>
            <w:vAlign w:val="center"/>
          </w:tcPr>
          <w:p w14:paraId="7225ABE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r>
              <w:rPr>
                <w:rFonts w:hint="eastAsia" w:asciiTheme="minorEastAsia" w:hAnsiTheme="minorEastAsia" w:eastAsiaTheme="minorEastAsia" w:cstheme="minorEastAsia"/>
                <w:sz w:val="24"/>
                <w:szCs w:val="24"/>
                <w:lang w:val="en-US" w:eastAsia="zh-CN"/>
              </w:rPr>
              <w:t>维保作业人员须取得相应特种设备作业人员证（如</w:t>
            </w:r>
            <w:r>
              <w:rPr>
                <w:rFonts w:hint="eastAsia" w:asciiTheme="minorEastAsia" w:hAnsiTheme="minorEastAsia" w:cstheme="minorEastAsia"/>
                <w:b w:val="0"/>
                <w:bCs w:val="0"/>
                <w:i w:val="0"/>
                <w:iCs w:val="0"/>
                <w:color w:val="000000"/>
                <w:kern w:val="0"/>
                <w:sz w:val="24"/>
                <w:szCs w:val="24"/>
                <w:u w:val="none"/>
                <w:lang w:val="en-US" w:eastAsia="zh-CN" w:bidi="ar"/>
              </w:rPr>
              <w:t>消防设施操作员证书</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val="0"/>
                <w:sz w:val="24"/>
                <w:szCs w:val="24"/>
                <w:lang w:val="en-US" w:eastAsia="zh-CN"/>
              </w:rPr>
              <w:t>经过安全技术培训，否则不得从事相关工作</w:t>
            </w:r>
            <w:r>
              <w:rPr>
                <w:rFonts w:hint="eastAsia" w:asciiTheme="minorEastAsia" w:hAnsiTheme="minorEastAsia" w:cstheme="minorEastAsia"/>
                <w:b w:val="0"/>
                <w:bCs w:val="0"/>
                <w:i w:val="0"/>
                <w:iCs w:val="0"/>
                <w:color w:val="000000"/>
                <w:kern w:val="0"/>
                <w:sz w:val="24"/>
                <w:szCs w:val="24"/>
                <w:u w:val="none"/>
                <w:lang w:val="en-US" w:eastAsia="zh-CN" w:bidi="ar"/>
              </w:rPr>
              <w:t>。</w:t>
            </w:r>
          </w:p>
        </w:tc>
        <w:tc>
          <w:tcPr>
            <w:tcW w:w="576" w:type="dxa"/>
            <w:tcBorders>
              <w:tl2br w:val="nil"/>
              <w:tr2bl w:val="nil"/>
            </w:tcBorders>
            <w:noWrap w:val="0"/>
            <w:vAlign w:val="center"/>
          </w:tcPr>
          <w:p w14:paraId="6C91B43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tcBorders>
              <w:tl2br w:val="nil"/>
              <w:tr2bl w:val="nil"/>
            </w:tcBorders>
            <w:noWrap w:val="0"/>
            <w:vAlign w:val="center"/>
          </w:tcPr>
          <w:p w14:paraId="39A2C31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维保人员不具备资格的扣</w:t>
            </w:r>
            <w:r>
              <w:rPr>
                <w:rFonts w:hint="eastAsia" w:asciiTheme="minorEastAsia" w:hAnsi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分/人次</w:t>
            </w:r>
            <w:r>
              <w:rPr>
                <w:rFonts w:hint="eastAsia" w:asciiTheme="minorEastAsia" w:hAnsiTheme="minorEastAsia" w:cstheme="minorEastAsia"/>
                <w:color w:val="000000"/>
                <w:sz w:val="24"/>
                <w:szCs w:val="24"/>
                <w:highlight w:val="none"/>
                <w:lang w:eastAsia="zh-CN"/>
              </w:rPr>
              <w:t>，且不允许上岗。</w:t>
            </w:r>
          </w:p>
        </w:tc>
        <w:tc>
          <w:tcPr>
            <w:tcW w:w="584" w:type="dxa"/>
            <w:gridSpan w:val="2"/>
            <w:tcBorders>
              <w:tl2br w:val="nil"/>
              <w:tr2bl w:val="nil"/>
            </w:tcBorders>
            <w:noWrap w:val="0"/>
            <w:vAlign w:val="center"/>
          </w:tcPr>
          <w:p w14:paraId="369CF63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D7C155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26970B5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1F95ECB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58B7192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2.维修人员维修时必须穿长袖衫、长裤、绝缘鞋，使用绝缘工具，严禁穿背心、短裤及不符合电气操作人员的服装，如金属丝钉的纽扣等。</w:t>
            </w:r>
          </w:p>
        </w:tc>
        <w:tc>
          <w:tcPr>
            <w:tcW w:w="576" w:type="dxa"/>
            <w:tcBorders>
              <w:tl2br w:val="nil"/>
              <w:tr2bl w:val="nil"/>
            </w:tcBorders>
            <w:noWrap w:val="0"/>
            <w:vAlign w:val="center"/>
          </w:tcPr>
          <w:p w14:paraId="3C3FC64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restart"/>
            <w:tcBorders>
              <w:tl2br w:val="nil"/>
              <w:tr2bl w:val="nil"/>
            </w:tcBorders>
            <w:noWrap w:val="0"/>
            <w:vAlign w:val="center"/>
          </w:tcPr>
          <w:p w14:paraId="5430A72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2246FA1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0233AA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6E92BA4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AD4D58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CF64DE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3.带点维修时，必须两人以上进行，一人监护，一人操作，防止触电、短路等事故的发生，严禁一人独立带电操作。</w:t>
            </w:r>
          </w:p>
        </w:tc>
        <w:tc>
          <w:tcPr>
            <w:tcW w:w="576" w:type="dxa"/>
            <w:tcBorders>
              <w:tl2br w:val="nil"/>
              <w:tr2bl w:val="nil"/>
            </w:tcBorders>
            <w:noWrap w:val="0"/>
            <w:vAlign w:val="center"/>
          </w:tcPr>
          <w:p w14:paraId="2122418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47DDFFF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3C706A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6B1E10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55A71B9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F750D5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CB0CDE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4.严禁带电挂拆地线，严禁带负荷拉合隔离开关。</w:t>
            </w:r>
          </w:p>
        </w:tc>
        <w:tc>
          <w:tcPr>
            <w:tcW w:w="576" w:type="dxa"/>
            <w:tcBorders>
              <w:tl2br w:val="nil"/>
              <w:tr2bl w:val="nil"/>
            </w:tcBorders>
            <w:noWrap w:val="0"/>
            <w:vAlign w:val="center"/>
          </w:tcPr>
          <w:p w14:paraId="22D2EDB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53D3B14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6D4BE8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01ADDC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2CA7D27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D57EE7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353C1C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5.设备停电检修时，严格执行安全技术措施，停电、验电时须悬挂临时接电线，设临时遮拦，悬挂标示牌。</w:t>
            </w:r>
          </w:p>
        </w:tc>
        <w:tc>
          <w:tcPr>
            <w:tcW w:w="576" w:type="dxa"/>
            <w:tcBorders>
              <w:tl2br w:val="nil"/>
              <w:tr2bl w:val="nil"/>
            </w:tcBorders>
            <w:noWrap w:val="0"/>
            <w:vAlign w:val="center"/>
          </w:tcPr>
          <w:p w14:paraId="4C3475F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89A495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D20B4B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1A0A366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2177C77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C90CFF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5451EC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6.在配电室维修时必须遵守配电室的有关规定。</w:t>
            </w:r>
          </w:p>
        </w:tc>
        <w:tc>
          <w:tcPr>
            <w:tcW w:w="576" w:type="dxa"/>
            <w:tcBorders>
              <w:tl2br w:val="nil"/>
              <w:tr2bl w:val="nil"/>
            </w:tcBorders>
            <w:noWrap w:val="0"/>
            <w:vAlign w:val="center"/>
          </w:tcPr>
          <w:p w14:paraId="4597889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17703D9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5B0FFE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579146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68A8982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55410C9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22E4E67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7.电气设备所有金属外壳要有可靠接地装置。</w:t>
            </w:r>
          </w:p>
        </w:tc>
        <w:tc>
          <w:tcPr>
            <w:tcW w:w="576" w:type="dxa"/>
            <w:tcBorders>
              <w:tl2br w:val="nil"/>
              <w:tr2bl w:val="nil"/>
            </w:tcBorders>
            <w:noWrap w:val="0"/>
            <w:vAlign w:val="center"/>
          </w:tcPr>
          <w:p w14:paraId="08F2753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942F21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D19279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68C3F1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2DD35FC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906D75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57B253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8.高空作业时戴好安全帽，系好安全带，严禁在工作中上下抛掷工具材料和物品。确需上下传递，用吊绳和吊袋传送。高空工作的下方2米范围内不得堆放物品或易碎物品。</w:t>
            </w:r>
          </w:p>
        </w:tc>
        <w:tc>
          <w:tcPr>
            <w:tcW w:w="576" w:type="dxa"/>
            <w:tcBorders>
              <w:tl2br w:val="nil"/>
              <w:tr2bl w:val="nil"/>
            </w:tcBorders>
            <w:noWrap w:val="0"/>
            <w:vAlign w:val="center"/>
          </w:tcPr>
          <w:p w14:paraId="3110B28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574BB4F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CA9F58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9D18B7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57796F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5C108A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C8894F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9.当发现有掉闸时，电工应立即到现场，首先了解掉闸原因，排除故障方可送电。连续送电不得超过三次，防止影响其它回路使用。</w:t>
            </w:r>
          </w:p>
        </w:tc>
        <w:tc>
          <w:tcPr>
            <w:tcW w:w="576" w:type="dxa"/>
            <w:tcBorders>
              <w:tl2br w:val="nil"/>
              <w:tr2bl w:val="nil"/>
            </w:tcBorders>
            <w:noWrap w:val="0"/>
            <w:vAlign w:val="center"/>
          </w:tcPr>
          <w:p w14:paraId="5900D7D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040DEEB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53DEBB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1C757B3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B95C24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4D9222B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2638AC8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10.根据维修、改造实际情况，每半年修改一次存档的电子版/纸板图纸资料，使存档资料与现场状态保持一致。</w:t>
            </w:r>
          </w:p>
        </w:tc>
        <w:tc>
          <w:tcPr>
            <w:tcW w:w="576" w:type="dxa"/>
            <w:tcBorders>
              <w:tl2br w:val="nil"/>
              <w:tr2bl w:val="nil"/>
            </w:tcBorders>
            <w:noWrap w:val="0"/>
            <w:vAlign w:val="center"/>
          </w:tcPr>
          <w:p w14:paraId="5C4A639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011C84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353820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5843628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restart"/>
            <w:tcBorders>
              <w:tl2br w:val="nil"/>
              <w:tr2bl w:val="nil"/>
            </w:tcBorders>
            <w:noWrap w:val="0"/>
            <w:vAlign w:val="center"/>
          </w:tcPr>
          <w:p w14:paraId="79E5144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二</w:t>
            </w:r>
          </w:p>
        </w:tc>
        <w:tc>
          <w:tcPr>
            <w:tcW w:w="823" w:type="dxa"/>
            <w:vMerge w:val="restart"/>
            <w:tcBorders>
              <w:tl2br w:val="nil"/>
              <w:tr2bl w:val="nil"/>
            </w:tcBorders>
            <w:noWrap w:val="0"/>
            <w:vAlign w:val="center"/>
          </w:tcPr>
          <w:p w14:paraId="09A4A5E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消控室</w:t>
            </w:r>
          </w:p>
        </w:tc>
        <w:tc>
          <w:tcPr>
            <w:tcW w:w="6272" w:type="dxa"/>
            <w:gridSpan w:val="2"/>
            <w:tcBorders>
              <w:tl2br w:val="nil"/>
              <w:tr2bl w:val="nil"/>
            </w:tcBorders>
            <w:noWrap w:val="0"/>
            <w:vAlign w:val="center"/>
          </w:tcPr>
          <w:p w14:paraId="4DFC556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snapToGrid w:val="0"/>
                <w:color w:val="000000"/>
                <w:spacing w:val="9"/>
                <w:w w:val="100"/>
                <w:kern w:val="0"/>
                <w:sz w:val="24"/>
                <w:szCs w:val="24"/>
                <w:lang w:val="en-US" w:eastAsia="zh-CN" w:bidi="ar-SA"/>
              </w:rPr>
              <w:t>1.</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认真遵守各项规章制度，严守劳动纪律，报表记录正确整齐。</w:t>
            </w:r>
          </w:p>
        </w:tc>
        <w:tc>
          <w:tcPr>
            <w:tcW w:w="576" w:type="dxa"/>
            <w:tcBorders>
              <w:tl2br w:val="nil"/>
              <w:tr2bl w:val="nil"/>
            </w:tcBorders>
            <w:noWrap w:val="0"/>
            <w:vAlign w:val="center"/>
          </w:tcPr>
          <w:p w14:paraId="7CC3DEA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6D9DC37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0.5</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4C08875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320D9D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6B435AE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049814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D65E34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snapToGrid w:val="0"/>
                <w:color w:val="000000"/>
                <w:spacing w:val="9"/>
                <w:w w:val="100"/>
                <w:kern w:val="0"/>
                <w:sz w:val="24"/>
                <w:szCs w:val="24"/>
                <w:lang w:val="en-US" w:eastAsia="zh-CN" w:bidi="ar-SA"/>
              </w:rPr>
              <w:t>2.</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值班人员有权禁止外来人员随意入内，大声喧哗</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50C044E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1EFE55E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6E9BC1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C84AFF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573D45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3A539A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82C347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值班室</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每周全面打扫卫生一次</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67CCD56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60" w:type="dxa"/>
            <w:vMerge w:val="continue"/>
            <w:tcBorders>
              <w:tl2br w:val="nil"/>
              <w:tr2bl w:val="nil"/>
            </w:tcBorders>
            <w:noWrap w:val="0"/>
            <w:vAlign w:val="center"/>
          </w:tcPr>
          <w:p w14:paraId="4016FFF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63CCCF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315D6D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7045214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890E0D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332F3B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3</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.直流屏柜表面干净无灰尘，定期对柜外壳进行对地绝缘检查，不符合相关要求进行重新接地。</w:t>
            </w:r>
          </w:p>
        </w:tc>
        <w:tc>
          <w:tcPr>
            <w:tcW w:w="576" w:type="dxa"/>
            <w:tcBorders>
              <w:tl2br w:val="nil"/>
              <w:tr2bl w:val="nil"/>
            </w:tcBorders>
            <w:noWrap w:val="0"/>
            <w:vAlign w:val="center"/>
          </w:tcPr>
          <w:p w14:paraId="41C1483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766B8A0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C1F265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58E9F68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3BD86F2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575578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7FB440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4</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.直流屏柜内无放电打火、无异音、无异味，除尘保养，紧固内部主线路，确保螺丝无松动，清理内部灰尘，检查有无放电，拉弧现象及时更换，各仪表电子信号指示正常，损坏故障仪表进行更换。</w:t>
            </w:r>
          </w:p>
        </w:tc>
        <w:tc>
          <w:tcPr>
            <w:tcW w:w="576" w:type="dxa"/>
            <w:tcBorders>
              <w:tl2br w:val="nil"/>
              <w:tr2bl w:val="nil"/>
            </w:tcBorders>
            <w:noWrap w:val="0"/>
            <w:vAlign w:val="center"/>
          </w:tcPr>
          <w:p w14:paraId="52515CA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6261373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C5A153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7A934A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73AAA46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62861C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AB09DF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5</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.灯具正常无故障、排气扇运行是否正常，维修或更换故障灯具排气扇，保证光照明度以及通风良好。</w:t>
            </w:r>
          </w:p>
        </w:tc>
        <w:tc>
          <w:tcPr>
            <w:tcW w:w="576" w:type="dxa"/>
            <w:tcBorders>
              <w:tl2br w:val="nil"/>
              <w:tr2bl w:val="nil"/>
            </w:tcBorders>
            <w:noWrap w:val="0"/>
            <w:vAlign w:val="center"/>
          </w:tcPr>
          <w:p w14:paraId="7353815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46BF2E8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0F04EB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660DEA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6EE227A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193CBE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BEC68B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6</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.确保室内温度为26℃，检查空气潮湿度，及时除去湿气。</w:t>
            </w:r>
          </w:p>
        </w:tc>
        <w:tc>
          <w:tcPr>
            <w:tcW w:w="576" w:type="dxa"/>
            <w:tcBorders>
              <w:tl2br w:val="nil"/>
              <w:tr2bl w:val="nil"/>
            </w:tcBorders>
            <w:noWrap w:val="0"/>
            <w:vAlign w:val="center"/>
          </w:tcPr>
          <w:p w14:paraId="3D2FD4D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82263A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18DDBC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66EC55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302F249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A4A9B8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CC886F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7</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.空调外表整洁运行是否正常、有无异常及漏液情况，拆开空调进行除尘保养，定期清理过滤网，制冷剂缺少进行加氟等。</w:t>
            </w:r>
          </w:p>
        </w:tc>
        <w:tc>
          <w:tcPr>
            <w:tcW w:w="576" w:type="dxa"/>
            <w:tcBorders>
              <w:tl2br w:val="nil"/>
              <w:tr2bl w:val="nil"/>
            </w:tcBorders>
            <w:noWrap w:val="0"/>
            <w:vAlign w:val="center"/>
          </w:tcPr>
          <w:p w14:paraId="4582A9D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3DBDA29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35EC51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FABE1C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trPr>
        <w:tc>
          <w:tcPr>
            <w:tcW w:w="627" w:type="dxa"/>
            <w:vMerge w:val="restart"/>
            <w:tcBorders>
              <w:tl2br w:val="nil"/>
              <w:tr2bl w:val="nil"/>
            </w:tcBorders>
            <w:noWrap w:val="0"/>
            <w:vAlign w:val="center"/>
          </w:tcPr>
          <w:p w14:paraId="215BA15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三</w:t>
            </w:r>
          </w:p>
        </w:tc>
        <w:tc>
          <w:tcPr>
            <w:tcW w:w="823" w:type="dxa"/>
            <w:vMerge w:val="restart"/>
            <w:tcBorders>
              <w:tl2br w:val="nil"/>
              <w:tr2bl w:val="nil"/>
            </w:tcBorders>
            <w:noWrap w:val="0"/>
            <w:vAlign w:val="center"/>
          </w:tcPr>
          <w:p w14:paraId="00E6E9C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巡视检查</w:t>
            </w:r>
          </w:p>
        </w:tc>
        <w:tc>
          <w:tcPr>
            <w:tcW w:w="6272" w:type="dxa"/>
            <w:gridSpan w:val="2"/>
            <w:tcBorders>
              <w:tl2br w:val="nil"/>
              <w:tr2bl w:val="nil"/>
            </w:tcBorders>
            <w:noWrap w:val="0"/>
            <w:vAlign w:val="center"/>
          </w:tcPr>
          <w:p w14:paraId="3983C53C">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值班人员要有高度的责任感，认真监视，细致检查设备运行情况，巡视检查时发现问题及时记录并向物业领导报告，以便及时处理</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0418010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04875CD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7DF2FBA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p>
        </w:tc>
      </w:tr>
      <w:tr w14:paraId="16A50CE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9" w:hRule="atLeast"/>
        </w:trPr>
        <w:tc>
          <w:tcPr>
            <w:tcW w:w="627" w:type="dxa"/>
            <w:vMerge w:val="continue"/>
            <w:tcBorders>
              <w:tl2br w:val="nil"/>
              <w:tr2bl w:val="nil"/>
            </w:tcBorders>
            <w:noWrap w:val="0"/>
            <w:vAlign w:val="center"/>
          </w:tcPr>
          <w:p w14:paraId="22623EF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5C4FA17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30847F7C">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值班人员应严格按操作票进行倒闸操作，绝对禁止违章操作</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3B9EE86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0A211DF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FABB4A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2A9F47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28B0CFF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C660EA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rPr>
            </w:pPr>
          </w:p>
        </w:tc>
        <w:tc>
          <w:tcPr>
            <w:tcW w:w="6272" w:type="dxa"/>
            <w:gridSpan w:val="2"/>
            <w:tcBorders>
              <w:tl2br w:val="nil"/>
              <w:tr2bl w:val="nil"/>
            </w:tcBorders>
            <w:noWrap w:val="0"/>
            <w:vAlign w:val="center"/>
          </w:tcPr>
          <w:p w14:paraId="6605A57F">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kern w:val="0"/>
                <w:sz w:val="24"/>
                <w:szCs w:val="24"/>
                <w:lang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早班每天巡视检查一次，必要时夜班检查一次。值班人员要及时处理运行中出现的各种故障，最大限度地缩小停电范围，缩短停电时间。</w:t>
            </w:r>
          </w:p>
        </w:tc>
        <w:tc>
          <w:tcPr>
            <w:tcW w:w="576" w:type="dxa"/>
            <w:tcBorders>
              <w:tl2br w:val="nil"/>
              <w:tr2bl w:val="nil"/>
            </w:tcBorders>
            <w:noWrap w:val="0"/>
            <w:vAlign w:val="center"/>
          </w:tcPr>
          <w:p w14:paraId="6CCEABD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4F2CCA1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p>
        </w:tc>
        <w:tc>
          <w:tcPr>
            <w:tcW w:w="584" w:type="dxa"/>
            <w:gridSpan w:val="2"/>
            <w:tcBorders>
              <w:tl2br w:val="nil"/>
              <w:tr2bl w:val="nil"/>
            </w:tcBorders>
            <w:noWrap w:val="0"/>
            <w:vAlign w:val="center"/>
          </w:tcPr>
          <w:p w14:paraId="70040DE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p>
        </w:tc>
      </w:tr>
      <w:tr w14:paraId="3A8C7FE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7AC9D16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6F2C916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23B0DC3D">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4</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巡视检查内容：变压器温升，油位高低，漏油情况，仪表指示情况，变压器高、低压瓷瓶，高、低压开关，高、低压电容，母线接头是否过热</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37EBDFC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03D5728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0D66ED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3B9318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restart"/>
            <w:tcBorders>
              <w:tl2br w:val="nil"/>
              <w:tr2bl w:val="nil"/>
            </w:tcBorders>
            <w:noWrap w:val="0"/>
            <w:vAlign w:val="center"/>
          </w:tcPr>
          <w:p w14:paraId="0019618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四</w:t>
            </w:r>
          </w:p>
        </w:tc>
        <w:tc>
          <w:tcPr>
            <w:tcW w:w="823" w:type="dxa"/>
            <w:vMerge w:val="restart"/>
            <w:tcBorders>
              <w:tl2br w:val="nil"/>
              <w:tr2bl w:val="nil"/>
            </w:tcBorders>
            <w:noWrap w:val="0"/>
            <w:vAlign w:val="center"/>
          </w:tcPr>
          <w:p w14:paraId="236C497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交接班制</w:t>
            </w:r>
          </w:p>
        </w:tc>
        <w:tc>
          <w:tcPr>
            <w:tcW w:w="6272" w:type="dxa"/>
            <w:gridSpan w:val="2"/>
            <w:tcBorders>
              <w:tl2br w:val="nil"/>
              <w:tr2bl w:val="nil"/>
            </w:tcBorders>
            <w:noWrap w:val="0"/>
            <w:vAlign w:val="center"/>
          </w:tcPr>
          <w:p w14:paraId="2189E970">
            <w:pPr>
              <w:pStyle w:val="6"/>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接班人员应提前10分钟到岗接班，双方认为交接情况清楚无问题后，交接班方可结束。</w:t>
            </w:r>
          </w:p>
        </w:tc>
        <w:tc>
          <w:tcPr>
            <w:tcW w:w="576" w:type="dxa"/>
            <w:tcBorders>
              <w:tl2br w:val="nil"/>
              <w:tr2bl w:val="nil"/>
            </w:tcBorders>
            <w:noWrap w:val="0"/>
            <w:vAlign w:val="center"/>
          </w:tcPr>
          <w:p w14:paraId="7D64B19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restart"/>
            <w:tcBorders>
              <w:tl2br w:val="nil"/>
              <w:tr2bl w:val="nil"/>
            </w:tcBorders>
            <w:noWrap w:val="0"/>
            <w:vAlign w:val="center"/>
          </w:tcPr>
          <w:p w14:paraId="384DEC5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0.5</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585C524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FDB664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15D6945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69BB44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3B49520">
            <w:pPr>
              <w:pStyle w:val="6"/>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禁止在倒闸操作时交接班，禁止在处理事故时交接班。</w:t>
            </w:r>
          </w:p>
        </w:tc>
        <w:tc>
          <w:tcPr>
            <w:tcW w:w="576" w:type="dxa"/>
            <w:tcBorders>
              <w:tl2br w:val="nil"/>
              <w:tr2bl w:val="nil"/>
            </w:tcBorders>
            <w:noWrap w:val="0"/>
            <w:vAlign w:val="center"/>
          </w:tcPr>
          <w:p w14:paraId="142ECC2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7D98CD2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670B5C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228523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24B0D3E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75E52C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87B7BB7">
            <w:pPr>
              <w:pStyle w:val="6"/>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认真填写好运行日志和本班工作小结，将交接班事项填写清楚，做到交接两清</w:t>
            </w:r>
          </w:p>
        </w:tc>
        <w:tc>
          <w:tcPr>
            <w:tcW w:w="576" w:type="dxa"/>
            <w:tcBorders>
              <w:tl2br w:val="nil"/>
              <w:tr2bl w:val="nil"/>
            </w:tcBorders>
            <w:noWrap w:val="0"/>
            <w:vAlign w:val="center"/>
          </w:tcPr>
          <w:p w14:paraId="2A5391F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78514F8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A993D2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6DE420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restart"/>
            <w:tcBorders>
              <w:tl2br w:val="nil"/>
              <w:tr2bl w:val="nil"/>
            </w:tcBorders>
            <w:noWrap w:val="0"/>
            <w:vAlign w:val="center"/>
          </w:tcPr>
          <w:p w14:paraId="2460C5E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五</w:t>
            </w:r>
          </w:p>
        </w:tc>
        <w:tc>
          <w:tcPr>
            <w:tcW w:w="823" w:type="dxa"/>
            <w:vMerge w:val="restart"/>
            <w:tcBorders>
              <w:tl2br w:val="nil"/>
              <w:tr2bl w:val="nil"/>
            </w:tcBorders>
            <w:noWrap w:val="0"/>
            <w:vAlign w:val="center"/>
          </w:tcPr>
          <w:p w14:paraId="41435F9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监控设备维护</w:t>
            </w:r>
          </w:p>
        </w:tc>
        <w:tc>
          <w:tcPr>
            <w:tcW w:w="6272" w:type="dxa"/>
            <w:gridSpan w:val="2"/>
            <w:tcBorders>
              <w:tl2br w:val="nil"/>
              <w:tr2bl w:val="nil"/>
            </w:tcBorders>
            <w:noWrap w:val="0"/>
            <w:vAlign w:val="center"/>
          </w:tcPr>
          <w:p w14:paraId="3BD0A00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宋体" w:hAnsi="宋体" w:cs="宋体"/>
                <w:spacing w:val="-1"/>
                <w:sz w:val="24"/>
                <w:szCs w:val="24"/>
                <w:lang w:val="en-US" w:eastAsia="zh-CN"/>
              </w:rPr>
              <w:t>定期对监控设备部件进行全面检查，一旦发现老化现象应及时更换、维修，如视频头等。</w:t>
            </w:r>
          </w:p>
        </w:tc>
        <w:tc>
          <w:tcPr>
            <w:tcW w:w="576" w:type="dxa"/>
            <w:tcBorders>
              <w:tl2br w:val="nil"/>
              <w:tr2bl w:val="nil"/>
            </w:tcBorders>
            <w:noWrap w:val="0"/>
            <w:vAlign w:val="center"/>
          </w:tcPr>
          <w:p w14:paraId="3C04503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0F6BA2E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53EC05C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961632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6B730C4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795D60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616527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z w:val="24"/>
                <w:szCs w:val="24"/>
              </w:rPr>
              <w:t>维护、</w:t>
            </w:r>
            <w:r>
              <w:rPr>
                <w:rFonts w:hint="eastAsia" w:asciiTheme="minorEastAsia" w:hAnsiTheme="minorEastAsia" w:eastAsiaTheme="minorEastAsia" w:cstheme="minorEastAsia"/>
                <w:color w:val="000000"/>
                <w:sz w:val="24"/>
                <w:szCs w:val="24"/>
              </w:rPr>
              <w:t>检修故障作业时维保人员应告知项目管理处，并铺设安全围栏及警示标语；</w:t>
            </w:r>
            <w:r>
              <w:rPr>
                <w:rFonts w:hint="eastAsia" w:asciiTheme="minorEastAsia" w:hAnsiTheme="minorEastAsia" w:eastAsiaTheme="minorEastAsia" w:cstheme="minorEastAsia"/>
                <w:color w:val="000000"/>
                <w:sz w:val="24"/>
                <w:szCs w:val="24"/>
                <w:lang w:eastAsia="zh-CN"/>
              </w:rPr>
              <w:t>；</w:t>
            </w:r>
          </w:p>
        </w:tc>
        <w:tc>
          <w:tcPr>
            <w:tcW w:w="576" w:type="dxa"/>
            <w:tcBorders>
              <w:tl2br w:val="nil"/>
              <w:tr2bl w:val="nil"/>
            </w:tcBorders>
            <w:noWrap w:val="0"/>
            <w:vAlign w:val="center"/>
          </w:tcPr>
          <w:p w14:paraId="7F34556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26E3FA3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0FAFDD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E9E348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trPr>
        <w:tc>
          <w:tcPr>
            <w:tcW w:w="627" w:type="dxa"/>
            <w:vMerge w:val="restart"/>
            <w:tcBorders>
              <w:tl2br w:val="nil"/>
              <w:tr2bl w:val="nil"/>
            </w:tcBorders>
            <w:noWrap w:val="0"/>
            <w:vAlign w:val="center"/>
          </w:tcPr>
          <w:p w14:paraId="04628CF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六</w:t>
            </w:r>
          </w:p>
        </w:tc>
        <w:tc>
          <w:tcPr>
            <w:tcW w:w="823" w:type="dxa"/>
            <w:vMerge w:val="restart"/>
            <w:tcBorders>
              <w:tl2br w:val="nil"/>
              <w:tr2bl w:val="nil"/>
            </w:tcBorders>
            <w:noWrap w:val="0"/>
            <w:vAlign w:val="center"/>
          </w:tcPr>
          <w:p w14:paraId="1BA0BD6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空调维保</w:t>
            </w:r>
          </w:p>
        </w:tc>
        <w:tc>
          <w:tcPr>
            <w:tcW w:w="6272" w:type="dxa"/>
            <w:gridSpan w:val="2"/>
            <w:tcBorders>
              <w:tl2br w:val="nil"/>
              <w:tr2bl w:val="nil"/>
            </w:tcBorders>
            <w:noWrap w:val="0"/>
            <w:vAlign w:val="center"/>
          </w:tcPr>
          <w:p w14:paraId="6A929A4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1.起动柜内无放电打火、无异音、无异味，定期对高压柜外壳进行对地绝缘检查，不符合相关要求进行重新接地。</w:t>
            </w:r>
          </w:p>
        </w:tc>
        <w:tc>
          <w:tcPr>
            <w:tcW w:w="576" w:type="dxa"/>
            <w:tcBorders>
              <w:tl2br w:val="nil"/>
              <w:tr2bl w:val="nil"/>
            </w:tcBorders>
            <w:noWrap w:val="0"/>
            <w:vAlign w:val="center"/>
          </w:tcPr>
          <w:p w14:paraId="57ADEEE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6E09728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1E1115E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173B0F4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627" w:type="dxa"/>
            <w:vMerge w:val="continue"/>
            <w:tcBorders>
              <w:tl2br w:val="nil"/>
              <w:tr2bl w:val="nil"/>
            </w:tcBorders>
            <w:noWrap w:val="0"/>
            <w:vAlign w:val="center"/>
          </w:tcPr>
          <w:p w14:paraId="7AC3B42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539D90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94CEF5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2.补偿柜内无放电打火、无异音、无异味，紧紧固内部主线路，确保螺丝无松动，清理内部灰尘，检查有无放电，拉弧现象及时更换，各仪表电子信号指示正常，损坏故障仪表进行更换。</w:t>
            </w:r>
          </w:p>
        </w:tc>
        <w:tc>
          <w:tcPr>
            <w:tcW w:w="576" w:type="dxa"/>
            <w:tcBorders>
              <w:tl2br w:val="nil"/>
              <w:tr2bl w:val="nil"/>
            </w:tcBorders>
            <w:noWrap w:val="0"/>
            <w:vAlign w:val="center"/>
          </w:tcPr>
          <w:p w14:paraId="2939070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7571299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123AAB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647906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627" w:type="dxa"/>
            <w:vMerge w:val="continue"/>
            <w:tcBorders>
              <w:tl2br w:val="nil"/>
              <w:tr2bl w:val="nil"/>
            </w:tcBorders>
            <w:noWrap w:val="0"/>
            <w:vAlign w:val="center"/>
          </w:tcPr>
          <w:p w14:paraId="3A3DE18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4F6C72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23C297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3.灯具正常无故障、排气扇运行是否正常，维修或更换故障灯具排气扇，保证光照明度以及通风良好。</w:t>
            </w:r>
          </w:p>
        </w:tc>
        <w:tc>
          <w:tcPr>
            <w:tcW w:w="576" w:type="dxa"/>
            <w:tcBorders>
              <w:tl2br w:val="nil"/>
              <w:tr2bl w:val="nil"/>
            </w:tcBorders>
            <w:noWrap w:val="0"/>
            <w:vAlign w:val="center"/>
          </w:tcPr>
          <w:p w14:paraId="4A163AF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6E8253B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EDDD32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574F2C0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7853D90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kern w:val="2"/>
                <w:sz w:val="24"/>
                <w:szCs w:val="24"/>
                <w:highlight w:val="none"/>
                <w:lang w:val="en-US" w:eastAsia="zh-CN" w:bidi="ar-SA"/>
              </w:rPr>
            </w:pPr>
          </w:p>
        </w:tc>
        <w:tc>
          <w:tcPr>
            <w:tcW w:w="823" w:type="dxa"/>
            <w:vMerge w:val="continue"/>
            <w:tcBorders>
              <w:tl2br w:val="nil"/>
              <w:tr2bl w:val="nil"/>
            </w:tcBorders>
            <w:noWrap w:val="0"/>
            <w:vAlign w:val="center"/>
          </w:tcPr>
          <w:p w14:paraId="07AE735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rPr>
            </w:pPr>
          </w:p>
        </w:tc>
        <w:tc>
          <w:tcPr>
            <w:tcW w:w="6272" w:type="dxa"/>
            <w:gridSpan w:val="2"/>
            <w:tcBorders>
              <w:tl2br w:val="nil"/>
              <w:tr2bl w:val="nil"/>
            </w:tcBorders>
            <w:noWrap w:val="0"/>
            <w:vAlign w:val="center"/>
          </w:tcPr>
          <w:p w14:paraId="4FB7EEA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4.确保室内温度为26℃，检查空气潮湿度，及时除去湿气。</w:t>
            </w:r>
          </w:p>
        </w:tc>
        <w:tc>
          <w:tcPr>
            <w:tcW w:w="576" w:type="dxa"/>
            <w:tcBorders>
              <w:tl2br w:val="nil"/>
              <w:tr2bl w:val="nil"/>
            </w:tcBorders>
            <w:noWrap w:val="0"/>
            <w:vAlign w:val="center"/>
          </w:tcPr>
          <w:p w14:paraId="3800FC7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B3828C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rPr>
            </w:pPr>
          </w:p>
        </w:tc>
        <w:tc>
          <w:tcPr>
            <w:tcW w:w="584" w:type="dxa"/>
            <w:gridSpan w:val="2"/>
            <w:tcBorders>
              <w:tl2br w:val="nil"/>
              <w:tr2bl w:val="nil"/>
            </w:tcBorders>
            <w:noWrap w:val="0"/>
            <w:vAlign w:val="center"/>
          </w:tcPr>
          <w:p w14:paraId="67DF4DE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rPr>
            </w:pPr>
          </w:p>
        </w:tc>
      </w:tr>
      <w:tr w14:paraId="76DF1B3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63223B8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75A7916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5DC81CE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5.空调外表整洁，运行是否正常，有无异常及漏液情况，拆开空调进行除尘保养，定期清理过滤网，制冷剂缺少进行加氟等。</w:t>
            </w:r>
          </w:p>
        </w:tc>
        <w:tc>
          <w:tcPr>
            <w:tcW w:w="576" w:type="dxa"/>
            <w:tcBorders>
              <w:tl2br w:val="nil"/>
              <w:tr2bl w:val="nil"/>
            </w:tcBorders>
            <w:noWrap w:val="0"/>
            <w:vAlign w:val="center"/>
          </w:tcPr>
          <w:p w14:paraId="36A75B1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984027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54E860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869074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DCF477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A43E6E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A44D70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6.地面是否干净整洁，有无杂物，工具摆放是否整齐，破损地面或瓷砖进行修复，油漆脱落进行补漆，地面安全标识重新绘制。</w:t>
            </w:r>
          </w:p>
        </w:tc>
        <w:tc>
          <w:tcPr>
            <w:tcW w:w="576" w:type="dxa"/>
            <w:tcBorders>
              <w:tl2br w:val="nil"/>
              <w:tr2bl w:val="nil"/>
            </w:tcBorders>
            <w:noWrap w:val="0"/>
            <w:vAlign w:val="center"/>
          </w:tcPr>
          <w:p w14:paraId="2D45573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7CCF83A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1C416C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49841F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restart"/>
            <w:tcBorders>
              <w:tl2br w:val="nil"/>
              <w:tr2bl w:val="nil"/>
            </w:tcBorders>
            <w:noWrap w:val="0"/>
            <w:vAlign w:val="center"/>
          </w:tcPr>
          <w:p w14:paraId="4C73224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p>
        </w:tc>
        <w:tc>
          <w:tcPr>
            <w:tcW w:w="823" w:type="dxa"/>
            <w:vMerge w:val="restart"/>
            <w:tcBorders>
              <w:tl2br w:val="nil"/>
              <w:tr2bl w:val="nil"/>
            </w:tcBorders>
            <w:noWrap w:val="0"/>
            <w:vAlign w:val="center"/>
          </w:tcPr>
          <w:p w14:paraId="5842150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监控值守</w:t>
            </w:r>
          </w:p>
        </w:tc>
        <w:tc>
          <w:tcPr>
            <w:tcW w:w="6272" w:type="dxa"/>
            <w:gridSpan w:val="2"/>
            <w:tcBorders>
              <w:tl2br w:val="nil"/>
              <w:tr2bl w:val="nil"/>
            </w:tcBorders>
            <w:noWrap w:val="0"/>
            <w:vAlign w:val="center"/>
          </w:tcPr>
          <w:p w14:paraId="556C761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监控设施应24小时正常运行，合理安排值守时间，如有故障应及时排除，保证对安全出入口、内部重点区域的安全监控，并保持完整记录，监控资料按规定期限保留</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kern w:val="0"/>
                <w:sz w:val="24"/>
                <w:szCs w:val="24"/>
              </w:rPr>
              <w:t>　</w:t>
            </w:r>
          </w:p>
        </w:tc>
        <w:tc>
          <w:tcPr>
            <w:tcW w:w="576" w:type="dxa"/>
            <w:tcBorders>
              <w:tl2br w:val="nil"/>
              <w:tr2bl w:val="nil"/>
            </w:tcBorders>
            <w:noWrap w:val="0"/>
            <w:vAlign w:val="center"/>
          </w:tcPr>
          <w:p w14:paraId="55EE899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736A99F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6696642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4FD73FF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7BC83EB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420A8E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928E33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在夜晚采取补光等措施，确保视频图像清晰，确保安全出入口和内部重点部位的视频监控无死角、无盲区</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501324C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0740E2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0F22AB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6A37A1C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trPr>
        <w:tc>
          <w:tcPr>
            <w:tcW w:w="627" w:type="dxa"/>
            <w:vMerge w:val="continue"/>
            <w:tcBorders>
              <w:tl2br w:val="nil"/>
              <w:tr2bl w:val="nil"/>
            </w:tcBorders>
            <w:noWrap w:val="0"/>
            <w:vAlign w:val="center"/>
          </w:tcPr>
          <w:p w14:paraId="2A8DA17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F3B99B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44416A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监控中心收到险情、火情等报警信号及其他异常情况的信号后，应及时报警并安排其他安保人员携带处置装备及时赶到报警点进行现场处理</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2E648F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466CFA0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A6BB47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46A1857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78948DC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1A4121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445746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保持治安电话畅通，接听及时。</w:t>
            </w:r>
          </w:p>
        </w:tc>
        <w:tc>
          <w:tcPr>
            <w:tcW w:w="576" w:type="dxa"/>
            <w:tcBorders>
              <w:tl2br w:val="nil"/>
              <w:tr2bl w:val="nil"/>
            </w:tcBorders>
            <w:noWrap w:val="0"/>
            <w:vAlign w:val="center"/>
          </w:tcPr>
          <w:p w14:paraId="4DFD39E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D9D25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56F2D2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5ECAA0D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627" w:type="dxa"/>
            <w:vMerge w:val="restart"/>
            <w:tcBorders>
              <w:tl2br w:val="nil"/>
              <w:tr2bl w:val="nil"/>
            </w:tcBorders>
            <w:noWrap w:val="0"/>
            <w:vAlign w:val="center"/>
          </w:tcPr>
          <w:p w14:paraId="06D577C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八</w:t>
            </w:r>
          </w:p>
        </w:tc>
        <w:tc>
          <w:tcPr>
            <w:tcW w:w="823" w:type="dxa"/>
            <w:vMerge w:val="restart"/>
            <w:tcBorders>
              <w:tl2br w:val="nil"/>
              <w:tr2bl w:val="nil"/>
            </w:tcBorders>
            <w:noWrap w:val="0"/>
            <w:vAlign w:val="center"/>
          </w:tcPr>
          <w:p w14:paraId="19D8A89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rPr>
            </w:pPr>
            <w:r>
              <w:rPr>
                <w:rFonts w:hint="eastAsia" w:asciiTheme="minorEastAsia" w:hAnsiTheme="minorEastAsia" w:eastAsiaTheme="minorEastAsia" w:cstheme="minorEastAsia"/>
                <w:b w:val="0"/>
                <w:bCs w:val="0"/>
                <w:sz w:val="24"/>
                <w:szCs w:val="24"/>
                <w:highlight w:val="none"/>
              </w:rPr>
              <w:t>车辆停放</w:t>
            </w:r>
          </w:p>
        </w:tc>
        <w:tc>
          <w:tcPr>
            <w:tcW w:w="6272" w:type="dxa"/>
            <w:gridSpan w:val="2"/>
            <w:tcBorders>
              <w:tl2br w:val="nil"/>
              <w:tr2bl w:val="nil"/>
            </w:tcBorders>
            <w:noWrap w:val="0"/>
            <w:vAlign w:val="center"/>
          </w:tcPr>
          <w:p w14:paraId="79AEB534">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院内设置行车指示、限速等标识和路口反光镜，规定行驶路线，指定停放区域，保证车辆有序通行、便于停放</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C8705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0CCDD70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4C2A4AE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sz w:val="24"/>
                <w:szCs w:val="24"/>
              </w:rPr>
            </w:pPr>
          </w:p>
        </w:tc>
      </w:tr>
      <w:tr w14:paraId="5ED4345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627" w:type="dxa"/>
            <w:vMerge w:val="continue"/>
            <w:tcBorders>
              <w:tl2br w:val="nil"/>
              <w:tr2bl w:val="nil"/>
            </w:tcBorders>
            <w:noWrap w:val="0"/>
            <w:vAlign w:val="center"/>
          </w:tcPr>
          <w:p w14:paraId="1BE6C978">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70754BCD">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7B9BA10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车库专人管理，定时清洁，无易燃易爆等危险品存放，监控、照明、抽水、消防器械配置齐全、正常运行</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03496B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7C80C75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30A82B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r>
      <w:tr w14:paraId="56BFE65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627" w:type="dxa"/>
            <w:vMerge w:val="continue"/>
            <w:tcBorders>
              <w:tl2br w:val="nil"/>
              <w:tr2bl w:val="nil"/>
            </w:tcBorders>
            <w:noWrap w:val="0"/>
            <w:vAlign w:val="center"/>
          </w:tcPr>
          <w:p w14:paraId="3C87B17A">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E8E8D8A">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A03D7A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非机动车定点有序停放。</w:t>
            </w:r>
          </w:p>
        </w:tc>
        <w:tc>
          <w:tcPr>
            <w:tcW w:w="576" w:type="dxa"/>
            <w:tcBorders>
              <w:tl2br w:val="nil"/>
              <w:tr2bl w:val="nil"/>
            </w:tcBorders>
            <w:noWrap w:val="0"/>
            <w:vAlign w:val="center"/>
          </w:tcPr>
          <w:p w14:paraId="7E25DFC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3CC2515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A6BF24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r>
      <w:tr w14:paraId="79A25E2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trPr>
        <w:tc>
          <w:tcPr>
            <w:tcW w:w="627" w:type="dxa"/>
            <w:vMerge w:val="restart"/>
            <w:tcBorders>
              <w:tl2br w:val="nil"/>
              <w:tr2bl w:val="nil"/>
            </w:tcBorders>
            <w:noWrap w:val="0"/>
            <w:vAlign w:val="center"/>
          </w:tcPr>
          <w:p w14:paraId="53029E5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九</w:t>
            </w:r>
          </w:p>
        </w:tc>
        <w:tc>
          <w:tcPr>
            <w:tcW w:w="823" w:type="dxa"/>
            <w:vMerge w:val="restart"/>
            <w:tcBorders>
              <w:tl2br w:val="nil"/>
              <w:tr2bl w:val="nil"/>
            </w:tcBorders>
            <w:noWrap w:val="0"/>
            <w:vAlign w:val="center"/>
          </w:tcPr>
          <w:p w14:paraId="149A989F">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消防</w:t>
            </w:r>
            <w:r>
              <w:rPr>
                <w:rFonts w:hint="eastAsia" w:asciiTheme="minorEastAsia" w:hAnsiTheme="minorEastAsia" w:eastAsiaTheme="minorEastAsia" w:cstheme="minorEastAsia"/>
                <w:b w:val="0"/>
                <w:bCs w:val="0"/>
                <w:sz w:val="24"/>
                <w:szCs w:val="24"/>
                <w:highlight w:val="none"/>
                <w:lang w:val="en-US" w:eastAsia="zh-CN"/>
              </w:rPr>
              <w:t>值机</w:t>
            </w:r>
          </w:p>
        </w:tc>
        <w:tc>
          <w:tcPr>
            <w:tcW w:w="6272" w:type="dxa"/>
            <w:gridSpan w:val="2"/>
            <w:tcBorders>
              <w:tl2br w:val="nil"/>
              <w:tr2bl w:val="nil"/>
            </w:tcBorders>
            <w:noWrap w:val="0"/>
            <w:vAlign w:val="center"/>
          </w:tcPr>
          <w:p w14:paraId="689048F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建立消防安全责任制</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FDA919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070A91A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0E96457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r>
      <w:tr w14:paraId="1C7E505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627" w:type="dxa"/>
            <w:vMerge w:val="continue"/>
            <w:tcBorders>
              <w:tl2br w:val="nil"/>
              <w:tr2bl w:val="nil"/>
            </w:tcBorders>
            <w:noWrap w:val="0"/>
            <w:vAlign w:val="center"/>
          </w:tcPr>
          <w:p w14:paraId="4B06FF3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8313B9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694846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宋体" w:hAnsi="宋体" w:eastAsia="宋体" w:cs="宋体"/>
                <w:spacing w:val="-1"/>
                <w:sz w:val="24"/>
                <w:szCs w:val="24"/>
              </w:rPr>
              <w:t>消控室人员实行24小时三班双岗</w:t>
            </w:r>
          </w:p>
        </w:tc>
        <w:tc>
          <w:tcPr>
            <w:tcW w:w="576" w:type="dxa"/>
            <w:tcBorders>
              <w:tl2br w:val="nil"/>
              <w:tr2bl w:val="nil"/>
            </w:tcBorders>
            <w:noWrap w:val="0"/>
            <w:vAlign w:val="center"/>
          </w:tcPr>
          <w:p w14:paraId="252B1D0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2575095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8EB007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r>
      <w:tr w14:paraId="7DA716F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1" w:hRule="atLeast"/>
        </w:trPr>
        <w:tc>
          <w:tcPr>
            <w:tcW w:w="627" w:type="dxa"/>
            <w:vMerge w:val="continue"/>
            <w:tcBorders>
              <w:tl2br w:val="nil"/>
              <w:tr2bl w:val="nil"/>
            </w:tcBorders>
            <w:noWrap w:val="0"/>
            <w:vAlign w:val="center"/>
          </w:tcPr>
          <w:p w14:paraId="43EDC29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kern w:val="2"/>
                <w:sz w:val="24"/>
                <w:szCs w:val="24"/>
                <w:highlight w:val="none"/>
                <w:lang w:val="en-US" w:eastAsia="zh-CN" w:bidi="ar-SA"/>
              </w:rPr>
            </w:pPr>
          </w:p>
        </w:tc>
        <w:tc>
          <w:tcPr>
            <w:tcW w:w="823" w:type="dxa"/>
            <w:vMerge w:val="continue"/>
            <w:tcBorders>
              <w:tl2br w:val="nil"/>
              <w:tr2bl w:val="nil"/>
            </w:tcBorders>
            <w:noWrap w:val="0"/>
            <w:vAlign w:val="center"/>
          </w:tcPr>
          <w:p w14:paraId="2C8DDB7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宋体" w:hAnsi="宋体" w:eastAsia="宋体" w:cs="宋体"/>
                <w:kern w:val="0"/>
                <w:sz w:val="24"/>
                <w:szCs w:val="24"/>
                <w:lang w:val="en-US" w:eastAsia="zh-CN"/>
              </w:rPr>
            </w:pPr>
          </w:p>
        </w:tc>
        <w:tc>
          <w:tcPr>
            <w:tcW w:w="6272" w:type="dxa"/>
            <w:gridSpan w:val="2"/>
            <w:tcBorders>
              <w:tl2br w:val="nil"/>
              <w:tr2bl w:val="nil"/>
            </w:tcBorders>
            <w:noWrap w:val="0"/>
            <w:vAlign w:val="center"/>
          </w:tcPr>
          <w:p w14:paraId="16E418E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宋体" w:hAnsi="宋体" w:eastAsia="宋体" w:cs="宋体"/>
                <w:spacing w:val="-1"/>
                <w:sz w:val="24"/>
                <w:szCs w:val="24"/>
              </w:rPr>
              <w:t>定期对设备进行巡检，检查设备是否正常运行，有无故障或异常情况。</w:t>
            </w:r>
          </w:p>
        </w:tc>
        <w:tc>
          <w:tcPr>
            <w:tcW w:w="576" w:type="dxa"/>
            <w:tcBorders>
              <w:tl2br w:val="nil"/>
              <w:tr2bl w:val="nil"/>
            </w:tcBorders>
            <w:noWrap w:val="0"/>
            <w:vAlign w:val="center"/>
          </w:tcPr>
          <w:p w14:paraId="77C929A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1A9F4F6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sz w:val="24"/>
                <w:szCs w:val="24"/>
                <w:lang w:val="en-US" w:eastAsia="zh-CN"/>
              </w:rPr>
            </w:pPr>
          </w:p>
        </w:tc>
        <w:tc>
          <w:tcPr>
            <w:tcW w:w="584" w:type="dxa"/>
            <w:gridSpan w:val="2"/>
            <w:tcBorders>
              <w:tl2br w:val="nil"/>
              <w:tr2bl w:val="nil"/>
            </w:tcBorders>
            <w:noWrap w:val="0"/>
            <w:vAlign w:val="center"/>
          </w:tcPr>
          <w:p w14:paraId="1BF23A9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sz w:val="24"/>
                <w:szCs w:val="24"/>
                <w:lang w:val="en-US" w:eastAsia="zh-CN"/>
              </w:rPr>
            </w:pPr>
          </w:p>
        </w:tc>
      </w:tr>
      <w:tr w14:paraId="3276A79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5" w:hRule="atLeast"/>
        </w:trPr>
        <w:tc>
          <w:tcPr>
            <w:tcW w:w="627" w:type="dxa"/>
            <w:vMerge w:val="continue"/>
            <w:tcBorders>
              <w:tl2br w:val="nil"/>
              <w:tr2bl w:val="nil"/>
            </w:tcBorders>
            <w:noWrap w:val="0"/>
            <w:vAlign w:val="center"/>
          </w:tcPr>
          <w:p w14:paraId="55F8FA7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3A28FA0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6BEA02B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宋体" w:hAnsi="宋体" w:eastAsia="宋体" w:cs="宋体"/>
                <w:spacing w:val="-1"/>
                <w:sz w:val="24"/>
                <w:szCs w:val="24"/>
              </w:rPr>
              <w:t>发现问题及时处理，并记录在值班日志中。</w:t>
            </w:r>
          </w:p>
        </w:tc>
        <w:tc>
          <w:tcPr>
            <w:tcW w:w="576" w:type="dxa"/>
            <w:tcBorders>
              <w:tl2br w:val="nil"/>
              <w:tr2bl w:val="nil"/>
            </w:tcBorders>
            <w:noWrap w:val="0"/>
            <w:vAlign w:val="center"/>
          </w:tcPr>
          <w:p w14:paraId="43619D7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36A7424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E2C578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r>
      <w:tr w14:paraId="69A9E99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trPr>
        <w:tc>
          <w:tcPr>
            <w:tcW w:w="627" w:type="dxa"/>
            <w:tcBorders>
              <w:tl2br w:val="nil"/>
              <w:tr2bl w:val="nil"/>
            </w:tcBorders>
            <w:noWrap w:val="0"/>
            <w:vAlign w:val="center"/>
          </w:tcPr>
          <w:p w14:paraId="7AFCFCA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cstheme="minorEastAsia"/>
                <w:b w:val="0"/>
                <w:bCs w:val="0"/>
                <w:i w:val="0"/>
                <w:iCs w:val="0"/>
                <w:color w:val="000000"/>
                <w:kern w:val="0"/>
                <w:sz w:val="24"/>
                <w:szCs w:val="24"/>
                <w:u w:val="none"/>
                <w:lang w:val="en-US" w:eastAsia="zh-CN" w:bidi="ar"/>
              </w:rPr>
              <w:t>十</w:t>
            </w:r>
          </w:p>
        </w:tc>
        <w:tc>
          <w:tcPr>
            <w:tcW w:w="823" w:type="dxa"/>
            <w:tcBorders>
              <w:tl2br w:val="nil"/>
              <w:tr2bl w:val="nil"/>
            </w:tcBorders>
            <w:noWrap w:val="0"/>
            <w:vAlign w:val="center"/>
          </w:tcPr>
          <w:p w14:paraId="6240795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避雷检测工作</w:t>
            </w:r>
          </w:p>
        </w:tc>
        <w:tc>
          <w:tcPr>
            <w:tcW w:w="6272" w:type="dxa"/>
            <w:gridSpan w:val="2"/>
            <w:tcBorders>
              <w:tl2br w:val="nil"/>
              <w:tr2bl w:val="nil"/>
            </w:tcBorders>
            <w:noWrap w:val="0"/>
            <w:vAlign w:val="center"/>
          </w:tcPr>
          <w:p w14:paraId="2F532F5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定期检测消防防雷接地装置、避雷针及引下线的连接、防静电设施，有检测报告。</w:t>
            </w:r>
          </w:p>
        </w:tc>
        <w:tc>
          <w:tcPr>
            <w:tcW w:w="576" w:type="dxa"/>
            <w:tcBorders>
              <w:tl2br w:val="nil"/>
              <w:tr2bl w:val="nil"/>
            </w:tcBorders>
            <w:noWrap w:val="0"/>
            <w:vAlign w:val="center"/>
          </w:tcPr>
          <w:p w14:paraId="6B21784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03CDD70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1940EA2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3DB01FD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627" w:type="dxa"/>
            <w:vMerge w:val="restart"/>
            <w:tcBorders>
              <w:tl2br w:val="nil"/>
              <w:tr2bl w:val="nil"/>
            </w:tcBorders>
            <w:noWrap w:val="0"/>
            <w:vAlign w:val="center"/>
          </w:tcPr>
          <w:p w14:paraId="4893A64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sz w:val="24"/>
                <w:szCs w:val="24"/>
                <w:lang w:val="en-US"/>
              </w:rPr>
            </w:pPr>
            <w:r>
              <w:rPr>
                <w:rFonts w:hint="eastAsia" w:asciiTheme="minorEastAsia" w:hAnsiTheme="minorEastAsia" w:cstheme="minorEastAsia"/>
                <w:b w:val="0"/>
                <w:bCs w:val="0"/>
                <w:i w:val="0"/>
                <w:iCs w:val="0"/>
                <w:color w:val="000000"/>
                <w:kern w:val="0"/>
                <w:sz w:val="24"/>
                <w:szCs w:val="24"/>
                <w:u w:val="none"/>
                <w:lang w:val="en-US" w:eastAsia="zh-CN" w:bidi="ar"/>
              </w:rPr>
              <w:t>十一</w:t>
            </w:r>
          </w:p>
        </w:tc>
        <w:tc>
          <w:tcPr>
            <w:tcW w:w="823" w:type="dxa"/>
            <w:vMerge w:val="restart"/>
            <w:tcBorders>
              <w:tl2br w:val="nil"/>
              <w:tr2bl w:val="nil"/>
            </w:tcBorders>
            <w:noWrap w:val="0"/>
            <w:vAlign w:val="center"/>
          </w:tcPr>
          <w:p w14:paraId="09AD5BF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防护措施</w:t>
            </w:r>
          </w:p>
        </w:tc>
        <w:tc>
          <w:tcPr>
            <w:tcW w:w="6272" w:type="dxa"/>
            <w:gridSpan w:val="2"/>
            <w:tcBorders>
              <w:tl2br w:val="nil"/>
              <w:tr2bl w:val="nil"/>
            </w:tcBorders>
            <w:noWrap w:val="0"/>
            <w:vAlign w:val="center"/>
          </w:tcPr>
          <w:p w14:paraId="36F8F21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1.高压验电器、兆欧表等用电工具是否有效，工具是否摆放整齐等，用电工具进行相关保养以及试验确保工具正常，是否在有效期内，及时送检。</w:t>
            </w:r>
          </w:p>
        </w:tc>
        <w:tc>
          <w:tcPr>
            <w:tcW w:w="576" w:type="dxa"/>
            <w:tcBorders>
              <w:tl2br w:val="nil"/>
              <w:tr2bl w:val="nil"/>
            </w:tcBorders>
            <w:noWrap w:val="0"/>
            <w:vAlign w:val="center"/>
          </w:tcPr>
          <w:p w14:paraId="7F13CF0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AE4071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39B4B7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61128E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trPr>
        <w:tc>
          <w:tcPr>
            <w:tcW w:w="627" w:type="dxa"/>
            <w:vMerge w:val="continue"/>
            <w:tcBorders>
              <w:tl2br w:val="nil"/>
              <w:tr2bl w:val="nil"/>
            </w:tcBorders>
            <w:noWrap w:val="0"/>
            <w:vAlign w:val="center"/>
          </w:tcPr>
          <w:p w14:paraId="284BDA5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bidi="ar-SA"/>
              </w:rPr>
            </w:pPr>
          </w:p>
        </w:tc>
        <w:tc>
          <w:tcPr>
            <w:tcW w:w="823" w:type="dxa"/>
            <w:vMerge w:val="continue"/>
            <w:tcBorders>
              <w:tl2br w:val="nil"/>
              <w:tr2bl w:val="nil"/>
            </w:tcBorders>
            <w:noWrap w:val="0"/>
            <w:vAlign w:val="center"/>
          </w:tcPr>
          <w:p w14:paraId="3B0F32F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p>
        </w:tc>
        <w:tc>
          <w:tcPr>
            <w:tcW w:w="6272" w:type="dxa"/>
            <w:gridSpan w:val="2"/>
            <w:tcBorders>
              <w:tl2br w:val="nil"/>
              <w:tr2bl w:val="nil"/>
            </w:tcBorders>
            <w:noWrap w:val="0"/>
            <w:vAlign w:val="center"/>
          </w:tcPr>
          <w:p w14:paraId="23293F5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2.绝缘手套及绝缘鞋等绝缘手套等防护措施是否有效，摆放整齐等，防护措施进行相关保养确保外界环境干燥，是否在有效期内，及时送检。</w:t>
            </w:r>
          </w:p>
        </w:tc>
        <w:tc>
          <w:tcPr>
            <w:tcW w:w="576" w:type="dxa"/>
            <w:tcBorders>
              <w:tl2br w:val="nil"/>
              <w:tr2bl w:val="nil"/>
            </w:tcBorders>
            <w:noWrap w:val="0"/>
            <w:vAlign w:val="center"/>
          </w:tcPr>
          <w:p w14:paraId="6730B1B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68F0DE8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c>
          <w:tcPr>
            <w:tcW w:w="584" w:type="dxa"/>
            <w:gridSpan w:val="2"/>
            <w:tcBorders>
              <w:tl2br w:val="nil"/>
              <w:tr2bl w:val="nil"/>
            </w:tcBorders>
            <w:noWrap w:val="0"/>
            <w:vAlign w:val="center"/>
          </w:tcPr>
          <w:p w14:paraId="3387602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689A550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restart"/>
            <w:tcBorders>
              <w:tl2br w:val="nil"/>
              <w:tr2bl w:val="nil"/>
            </w:tcBorders>
            <w:noWrap w:val="0"/>
            <w:vAlign w:val="center"/>
          </w:tcPr>
          <w:p w14:paraId="5D8F0CB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cstheme="minorEastAsia"/>
                <w:b w:val="0"/>
                <w:bCs w:val="0"/>
                <w:i w:val="0"/>
                <w:iCs w:val="0"/>
                <w:color w:val="000000"/>
                <w:kern w:val="0"/>
                <w:sz w:val="24"/>
                <w:szCs w:val="24"/>
                <w:u w:val="none"/>
                <w:lang w:val="en-US" w:eastAsia="zh-CN" w:bidi="ar"/>
              </w:rPr>
              <w:t>十二</w:t>
            </w:r>
          </w:p>
        </w:tc>
        <w:tc>
          <w:tcPr>
            <w:tcW w:w="823" w:type="dxa"/>
            <w:vMerge w:val="restart"/>
            <w:tcBorders>
              <w:tl2br w:val="nil"/>
              <w:tr2bl w:val="nil"/>
            </w:tcBorders>
            <w:noWrap w:val="0"/>
            <w:vAlign w:val="center"/>
          </w:tcPr>
          <w:p w14:paraId="3B027F5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发电机房</w:t>
            </w:r>
          </w:p>
        </w:tc>
        <w:tc>
          <w:tcPr>
            <w:tcW w:w="6272" w:type="dxa"/>
            <w:gridSpan w:val="2"/>
            <w:tcBorders>
              <w:tl2br w:val="nil"/>
              <w:tr2bl w:val="nil"/>
            </w:tcBorders>
            <w:noWrap w:val="0"/>
            <w:vAlign w:val="center"/>
          </w:tcPr>
          <w:p w14:paraId="0959130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1.发电机表面干净无灰尘，定期手转动发电盘，后启动发电机运行一段时间。</w:t>
            </w:r>
          </w:p>
        </w:tc>
        <w:tc>
          <w:tcPr>
            <w:tcW w:w="576" w:type="dxa"/>
            <w:tcBorders>
              <w:tl2br w:val="nil"/>
              <w:tr2bl w:val="nil"/>
            </w:tcBorders>
            <w:noWrap w:val="0"/>
            <w:vAlign w:val="center"/>
          </w:tcPr>
          <w:p w14:paraId="6EAD4FC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341185F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0.5</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4EE505B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3998703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6E48566B">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2FF7CBC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7B95C87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2.检查机油箱油位、颜色是否正常，检查设备有无漏液，机油箱内机油是否变色或减少等，并及时添加更换。</w:t>
            </w:r>
          </w:p>
        </w:tc>
        <w:tc>
          <w:tcPr>
            <w:tcW w:w="576" w:type="dxa"/>
            <w:tcBorders>
              <w:tl2br w:val="nil"/>
              <w:tr2bl w:val="nil"/>
            </w:tcBorders>
            <w:noWrap w:val="0"/>
            <w:vAlign w:val="center"/>
          </w:tcPr>
          <w:p w14:paraId="0E1CEFF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0C03859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BBBA17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D572B5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3D7FA878">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74102D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11F4A6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3.检查燃油箱油位、颜色是否正常，确保燃油箱油位、颜色正常。</w:t>
            </w:r>
          </w:p>
        </w:tc>
        <w:tc>
          <w:tcPr>
            <w:tcW w:w="576" w:type="dxa"/>
            <w:tcBorders>
              <w:tl2br w:val="nil"/>
              <w:tr2bl w:val="nil"/>
            </w:tcBorders>
            <w:noWrap w:val="0"/>
            <w:vAlign w:val="center"/>
          </w:tcPr>
          <w:p w14:paraId="1C44F51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00B9CC8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BB2874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183BD4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3DF64966">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96606F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3AD85A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4.机房灯具开关自如、外表干净，清除灯具积尘，维修或更换故障灯具。</w:t>
            </w:r>
          </w:p>
        </w:tc>
        <w:tc>
          <w:tcPr>
            <w:tcW w:w="576" w:type="dxa"/>
            <w:tcBorders>
              <w:tl2br w:val="nil"/>
              <w:tr2bl w:val="nil"/>
            </w:tcBorders>
            <w:noWrap w:val="0"/>
            <w:vAlign w:val="center"/>
          </w:tcPr>
          <w:p w14:paraId="143B83B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2EC6A5E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95DD23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127EB72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181279BF">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C5E17C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4AE4BD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5.地面干净整洁、无杂物，破损地面或瓷砖进行修复，油漆脱落进行补漆，地面安全标识重新绘制。</w:t>
            </w:r>
          </w:p>
        </w:tc>
        <w:tc>
          <w:tcPr>
            <w:tcW w:w="576" w:type="dxa"/>
            <w:tcBorders>
              <w:tl2br w:val="nil"/>
              <w:tr2bl w:val="nil"/>
            </w:tcBorders>
            <w:noWrap w:val="0"/>
            <w:vAlign w:val="center"/>
          </w:tcPr>
          <w:p w14:paraId="3A06279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37B30A4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13EDAD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B5ACE0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trPr>
        <w:tc>
          <w:tcPr>
            <w:tcW w:w="627" w:type="dxa"/>
            <w:vMerge w:val="continue"/>
            <w:tcBorders>
              <w:tl2br w:val="nil"/>
              <w:tr2bl w:val="nil"/>
            </w:tcBorders>
            <w:noWrap w:val="0"/>
            <w:vAlign w:val="center"/>
          </w:tcPr>
          <w:p w14:paraId="52C1A527">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kern w:val="2"/>
                <w:sz w:val="24"/>
                <w:szCs w:val="24"/>
                <w:highlight w:val="none"/>
                <w:lang w:val="en-US" w:eastAsia="zh-CN" w:bidi="ar-SA"/>
              </w:rPr>
            </w:pPr>
          </w:p>
        </w:tc>
        <w:tc>
          <w:tcPr>
            <w:tcW w:w="823" w:type="dxa"/>
            <w:vMerge w:val="continue"/>
            <w:tcBorders>
              <w:tl2br w:val="nil"/>
              <w:tr2bl w:val="nil"/>
            </w:tcBorders>
            <w:noWrap w:val="0"/>
            <w:vAlign w:val="center"/>
          </w:tcPr>
          <w:p w14:paraId="0F47DCF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kern w:val="0"/>
                <w:sz w:val="24"/>
                <w:szCs w:val="24"/>
                <w:lang w:val="en-US" w:eastAsia="zh-CN"/>
              </w:rPr>
            </w:pPr>
          </w:p>
        </w:tc>
        <w:tc>
          <w:tcPr>
            <w:tcW w:w="6272" w:type="dxa"/>
            <w:gridSpan w:val="2"/>
            <w:tcBorders>
              <w:tl2br w:val="nil"/>
              <w:tr2bl w:val="nil"/>
            </w:tcBorders>
            <w:noWrap w:val="0"/>
            <w:vAlign w:val="center"/>
          </w:tcPr>
          <w:p w14:paraId="59C5BED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6.发电机并网柜配电安全防护措施齐全有效，除尘保养，紧固内部主线路，确保螺丝无松动，清理内部灰尘，检查有无放电，拉弧现象及时更换，各仪表电子信号指示正常，损坏故障仪表进行更换。</w:t>
            </w:r>
          </w:p>
        </w:tc>
        <w:tc>
          <w:tcPr>
            <w:tcW w:w="576" w:type="dxa"/>
            <w:tcBorders>
              <w:tl2br w:val="nil"/>
              <w:tr2bl w:val="nil"/>
            </w:tcBorders>
            <w:noWrap w:val="0"/>
            <w:vAlign w:val="center"/>
          </w:tcPr>
          <w:p w14:paraId="1F4C1BC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237C6DC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c>
          <w:tcPr>
            <w:tcW w:w="584" w:type="dxa"/>
            <w:gridSpan w:val="2"/>
            <w:tcBorders>
              <w:tl2br w:val="nil"/>
              <w:tr2bl w:val="nil"/>
            </w:tcBorders>
            <w:noWrap w:val="0"/>
            <w:vAlign w:val="center"/>
          </w:tcPr>
          <w:p w14:paraId="5922C01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31A1B91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trPr>
        <w:tc>
          <w:tcPr>
            <w:tcW w:w="7722" w:type="dxa"/>
            <w:gridSpan w:val="4"/>
            <w:tcBorders>
              <w:tl2br w:val="nil"/>
              <w:tr2bl w:val="nil"/>
            </w:tcBorders>
            <w:noWrap w:val="0"/>
            <w:vAlign w:val="center"/>
          </w:tcPr>
          <w:p w14:paraId="7D50F37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   计</w:t>
            </w:r>
          </w:p>
        </w:tc>
        <w:tc>
          <w:tcPr>
            <w:tcW w:w="576" w:type="dxa"/>
            <w:tcBorders>
              <w:tl2br w:val="nil"/>
              <w:tr2bl w:val="nil"/>
            </w:tcBorders>
            <w:noWrap w:val="0"/>
            <w:vAlign w:val="center"/>
          </w:tcPr>
          <w:p w14:paraId="2743363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1444" w:type="dxa"/>
            <w:gridSpan w:val="3"/>
            <w:tcBorders>
              <w:tl2br w:val="nil"/>
              <w:tr2bl w:val="nil"/>
            </w:tcBorders>
            <w:noWrap w:val="0"/>
            <w:vAlign w:val="center"/>
          </w:tcPr>
          <w:p w14:paraId="5497564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767B4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1248" w:hRule="atLeast"/>
        </w:trPr>
        <w:tc>
          <w:tcPr>
            <w:tcW w:w="9732" w:type="dxa"/>
            <w:gridSpan w:val="7"/>
            <w:tcBorders>
              <w:top w:val="single" w:color="auto" w:sz="8" w:space="0"/>
              <w:left w:val="single" w:color="auto" w:sz="8" w:space="0"/>
              <w:bottom w:val="single" w:color="auto" w:sz="8" w:space="0"/>
              <w:right w:val="single" w:color="auto" w:sz="8" w:space="0"/>
            </w:tcBorders>
            <w:noWrap w:val="0"/>
            <w:vAlign w:val="top"/>
          </w:tcPr>
          <w:p w14:paraId="35D8902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确保现场工作人员严格遵守</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的相关纪律和制度，严禁无故脱岗，对日常服务等进行满意度测评打分，并建立台账。每</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rPr>
              <w:t>为一个考核周期，</w:t>
            </w:r>
            <w:r>
              <w:rPr>
                <w:rFonts w:hint="eastAsia" w:ascii="宋体" w:hAnsi="宋体" w:eastAsia="宋体" w:cs="宋体"/>
                <w:b w:val="0"/>
                <w:bCs w:val="0"/>
                <w:sz w:val="24"/>
                <w:szCs w:val="24"/>
                <w:highlight w:val="none"/>
                <w:lang w:val="en-US" w:eastAsia="zh-CN"/>
              </w:rPr>
              <w:t>按</w:t>
            </w:r>
            <w:r>
              <w:rPr>
                <w:rFonts w:hint="eastAsia" w:ascii="宋体" w:hAnsi="宋体" w:cs="宋体"/>
                <w:b w:val="0"/>
                <w:bCs w:val="0"/>
                <w:sz w:val="24"/>
                <w:szCs w:val="24"/>
                <w:highlight w:val="none"/>
                <w:lang w:val="en-US" w:eastAsia="zh-CN"/>
              </w:rPr>
              <w:t>月</w:t>
            </w:r>
            <w:r>
              <w:rPr>
                <w:rFonts w:hint="eastAsia" w:ascii="宋体" w:hAnsi="宋体" w:eastAsia="宋体" w:cs="宋体"/>
                <w:b w:val="0"/>
                <w:bCs w:val="0"/>
                <w:sz w:val="24"/>
                <w:szCs w:val="24"/>
                <w:highlight w:val="none"/>
              </w:rPr>
              <w:t>结算。考核得分在90-100分为优，全额支付</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服务费；考核得分在80-89分为良好，扣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应付服务费的5%；考核得分在70-80分为一般，扣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应付服务费的10%；考核得分在70分以下为差，</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将要求</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对相关工作进行限期整改，整改后经随机抽查达到良好情形的，扣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应付服务费的15%；经过限期整改仍达不到良好情形的或拒不整改的，</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有权终止合同，</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相关损失由</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承担。</w:t>
            </w:r>
          </w:p>
        </w:tc>
      </w:tr>
      <w:tr w14:paraId="65039F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3311" w:hRule="atLeast"/>
        </w:trPr>
        <w:tc>
          <w:tcPr>
            <w:tcW w:w="3257" w:type="dxa"/>
            <w:gridSpan w:val="3"/>
            <w:tcBorders>
              <w:top w:val="single" w:color="auto" w:sz="8" w:space="0"/>
              <w:left w:val="single" w:color="auto" w:sz="8" w:space="0"/>
              <w:bottom w:val="single" w:color="auto" w:sz="4" w:space="0"/>
              <w:right w:val="single" w:color="auto" w:sz="8" w:space="0"/>
            </w:tcBorders>
            <w:noWrap w:val="0"/>
            <w:vAlign w:val="top"/>
          </w:tcPr>
          <w:p w14:paraId="1959744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检查人：</w:t>
            </w:r>
          </w:p>
        </w:tc>
        <w:tc>
          <w:tcPr>
            <w:tcW w:w="6475" w:type="dxa"/>
            <w:gridSpan w:val="4"/>
            <w:tcBorders>
              <w:top w:val="single" w:color="auto" w:sz="8" w:space="0"/>
              <w:left w:val="single" w:color="auto" w:sz="8" w:space="0"/>
              <w:bottom w:val="single" w:color="auto" w:sz="4" w:space="0"/>
              <w:right w:val="single" w:color="auto" w:sz="8" w:space="0"/>
            </w:tcBorders>
            <w:noWrap w:val="0"/>
            <w:vAlign w:val="top"/>
          </w:tcPr>
          <w:p w14:paraId="7572FE2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被考核单位确认签字盖章：</w:t>
            </w:r>
          </w:p>
        </w:tc>
      </w:tr>
    </w:tbl>
    <w:p w14:paraId="16999F24">
      <w:pPr>
        <w:keepNext w:val="0"/>
        <w:keepLines w:val="0"/>
        <w:pageBreakBefore w:val="0"/>
        <w:kinsoku/>
        <w:wordWrap/>
        <w:overflowPunct/>
        <w:topLinePunct w:val="0"/>
        <w:bidi w:val="0"/>
        <w:spacing w:line="560" w:lineRule="exact"/>
        <w:jc w:val="both"/>
        <w:textAlignment w:val="auto"/>
        <w:rPr>
          <w:rFonts w:hint="eastAsia" w:asciiTheme="minorEastAsia" w:hAnsiTheme="minorEastAsia" w:eastAsiaTheme="minorEastAsia" w:cstheme="minorEastAsia"/>
          <w:sz w:val="24"/>
          <w:szCs w:val="24"/>
        </w:rPr>
      </w:pPr>
    </w:p>
    <w:p w14:paraId="05A66449">
      <w:pPr>
        <w:pStyle w:val="22"/>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635DF9DA">
      <w:pPr>
        <w:keepNext w:val="0"/>
        <w:keepLines w:val="0"/>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ageBreakBefore w:val="0"/>
        <w:kinsoku/>
        <w:wordWrap/>
        <w:overflowPunct/>
        <w:topLinePunct w:val="0"/>
        <w:bidi w:val="0"/>
        <w:spacing w:line="560" w:lineRule="exact"/>
        <w:jc w:val="center"/>
        <w:textAlignment w:val="auto"/>
        <w:outlineLvl w:val="9"/>
        <w:rPr>
          <w:rFonts w:hint="eastAsia" w:asciiTheme="minorEastAsia" w:hAnsiTheme="minorEastAsia" w:eastAsiaTheme="minorEastAsia" w:cstheme="minorEastAsia"/>
          <w:b w:val="0"/>
          <w:bCs w:val="0"/>
          <w:color w:val="000000"/>
          <w:sz w:val="24"/>
          <w:szCs w:val="24"/>
          <w:lang w:val="en-US" w:eastAsia="zh-CN"/>
        </w:rPr>
      </w:pPr>
    </w:p>
    <w:p w14:paraId="146D8F3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1、本询比采购文件仅适用于本次投标邀请函中所述张家口产业投资控股集团有限公司综合服务项目的内容。</w:t>
      </w:r>
    </w:p>
    <w:p w14:paraId="5D9815B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（2）具有安全保卫专业技术人员、设备、技术等方面相应的服务能力，具有良好的商业信誉；</w:t>
      </w:r>
    </w:p>
    <w:p w14:paraId="3A3F46D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w:t>
      </w:r>
      <w:r>
        <w:rPr>
          <w:rFonts w:hint="eastAsia" w:asciiTheme="minorEastAsia" w:hAnsiTheme="minorEastAsia" w:eastAsiaTheme="minorEastAsia" w:cstheme="minorEastAsia"/>
          <w:i w:val="0"/>
          <w:iCs w:val="0"/>
          <w:caps w:val="0"/>
          <w:color w:val="1F2329"/>
          <w:spacing w:val="0"/>
          <w:sz w:val="24"/>
          <w:szCs w:val="24"/>
          <w:highlight w:val="yellow"/>
          <w:shd w:val="clear" w:fill="FFFFFF"/>
          <w:lang w:val="en-US" w:eastAsia="zh-CN"/>
        </w:rPr>
        <w:t>张家口市桥东区南站街道钻石南路丰泰风光苑4号办公楼项目</w:t>
      </w:r>
      <w:r>
        <w:rPr>
          <w:rFonts w:hint="eastAsia" w:asciiTheme="minorEastAsia" w:hAnsiTheme="minorEastAsia" w:eastAsiaTheme="minorEastAsia" w:cstheme="minorEastAsia"/>
          <w:i w:val="0"/>
          <w:iCs w:val="0"/>
          <w:caps w:val="0"/>
          <w:color w:val="1F2329"/>
          <w:spacing w:val="0"/>
          <w:sz w:val="24"/>
          <w:szCs w:val="24"/>
          <w:highlight w:val="yellow"/>
          <w:shd w:val="clear" w:fill="FFFFFF"/>
        </w:rPr>
        <w:t>所在地</w:t>
      </w:r>
      <w:r>
        <w:rPr>
          <w:rFonts w:hint="eastAsia" w:asciiTheme="minorEastAsia" w:hAnsiTheme="minorEastAsia" w:eastAsiaTheme="minorEastAsia" w:cstheme="minorEastAsia"/>
          <w:i w:val="0"/>
          <w:iCs w:val="0"/>
          <w:caps w:val="0"/>
          <w:color w:val="1F2329"/>
          <w:spacing w:val="0"/>
          <w:sz w:val="24"/>
          <w:szCs w:val="24"/>
          <w:shd w:val="clear" w:fill="FFFFFF"/>
        </w:rPr>
        <w:t>对项目现场及周围环境进行踏勘，以便获取自己负责的有关编制询比采购投标文件和签署合同所需的所有资料。踏勘现场所发生的费用由供应商自己承担。</w:t>
      </w:r>
    </w:p>
    <w:p w14:paraId="3738BEC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49401AF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2、供应商在收到询比采购文件后，对询比采购文件任何部分若有任何疑问，任何要求澄清询比采购文件的供应商，均应在领到询比采购文件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shd w:val="clear" w:fill="FFFFFF"/>
        </w:rPr>
        <w:t>个工作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3、供应商在规定时间未提交疑问的，视作默认对本次招标过程中询比采购文件或清单无疑问，采购人对其提出的问题可以不作解释。</w:t>
      </w:r>
    </w:p>
    <w:p w14:paraId="74C983E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1、在投标截止日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w:t>
      </w:r>
      <w:r>
        <w:rPr>
          <w:rFonts w:hint="eastAsia" w:asciiTheme="minorEastAsia" w:hAnsiTheme="minorEastAsia" w:eastAsiaTheme="minorEastAsia" w:cstheme="minorEastAsia"/>
          <w:i w:val="0"/>
          <w:iCs w:val="0"/>
          <w:caps w:val="0"/>
          <w:color w:val="1F2329"/>
          <w:spacing w:val="0"/>
          <w:sz w:val="24"/>
          <w:szCs w:val="24"/>
          <w:shd w:val="clear" w:fill="FFFFFF"/>
        </w:rPr>
        <w:t>之前的任何时候，招标人可主动或在解答供应商提出的澄清问题时对询比采购文件以补遗书的形式进行修改。</w:t>
      </w:r>
    </w:p>
    <w:p w14:paraId="750D8F9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7E050AC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认的，其投标无效。</w:t>
      </w:r>
    </w:p>
    <w:p w14:paraId="6A2FDC9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pacing w:val="-4"/>
          <w:sz w:val="24"/>
          <w:szCs w:val="24"/>
          <w:lang w:val="en-US" w:eastAsia="zh-CN"/>
        </w:rPr>
      </w:pPr>
      <w:r>
        <w:rPr>
          <w:rFonts w:hint="eastAsia" w:asciiTheme="minorEastAsia" w:hAnsiTheme="minorEastAsia" w:eastAsiaTheme="minorEastAsia" w:cstheme="minorEastAsia"/>
          <w:i w:val="0"/>
          <w:iCs w:val="0"/>
          <w:caps w:val="0"/>
          <w:color w:val="1F2329"/>
          <w:spacing w:val="0"/>
          <w:sz w:val="24"/>
          <w:szCs w:val="24"/>
          <w:shd w:val="clear" w:fill="FFFFFF"/>
        </w:rPr>
        <w:t>3、所有报价均为交付采购人使用前（包括伴随服务）的价格。</w:t>
      </w:r>
      <w:r>
        <w:rPr>
          <w:rFonts w:hint="eastAsia" w:ascii="宋体" w:hAnsi="宋体" w:eastAsia="宋体" w:cs="宋体"/>
          <w:spacing w:val="-4"/>
          <w:sz w:val="24"/>
          <w:szCs w:val="24"/>
          <w:lang w:val="en-US" w:eastAsia="zh-CN"/>
        </w:rPr>
        <w:t>单次维修材料费用在500元以下由乙方负责支付，年度总计不超过20000元。</w:t>
      </w:r>
    </w:p>
    <w:p w14:paraId="6FF95D5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（三）询比采购投标文件的构成供应商编写的询比采购投标文件应包括下列内容：</w:t>
      </w:r>
    </w:p>
    <w:p w14:paraId="20FF011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1、供应商诚信承诺书；</w:t>
      </w:r>
    </w:p>
    <w:p w14:paraId="29FE6CF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2、投标函；</w:t>
      </w:r>
    </w:p>
    <w:p w14:paraId="405F035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3、投标报价表；</w:t>
      </w:r>
    </w:p>
    <w:p w14:paraId="43673C7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4、服务响应偏离表；</w:t>
      </w:r>
    </w:p>
    <w:p w14:paraId="13258F8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5、供应商基本情况表；</w:t>
      </w:r>
    </w:p>
    <w:p w14:paraId="61117DD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6、项目实施方案；</w:t>
      </w:r>
    </w:p>
    <w:p w14:paraId="72DADAA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7、售后服务承诺书；</w:t>
      </w:r>
    </w:p>
    <w:p w14:paraId="27EFA54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8、其它（如有时）；</w:t>
      </w:r>
    </w:p>
    <w:p w14:paraId="4B1467A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（一）询比采购投标文件的密封和标记供应商应将纸质询比采购投标文件正本（壹套）和副本</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（壹套）</w:t>
      </w:r>
      <w:r>
        <w:rPr>
          <w:rFonts w:hint="eastAsia" w:asciiTheme="minorEastAsia" w:hAnsiTheme="minorEastAsia" w:eastAsiaTheme="minorEastAsia" w:cstheme="minorEastAsia"/>
          <w:i w:val="0"/>
          <w:iCs w:val="0"/>
          <w:caps w:val="0"/>
          <w:color w:val="1F2329"/>
          <w:spacing w:val="0"/>
          <w:sz w:val="24"/>
          <w:szCs w:val="24"/>
          <w:shd w:val="clear" w:fill="FFFFFF"/>
        </w:rPr>
        <w:t>胶装成册并与电子版询比采购投标文件（U盘外表面应当清楚标记单位名称）密封在同一个密封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以证明出席，否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shd w:val="clear" w:fill="FFFFFF"/>
        </w:rPr>
        <w:t>对其递交的询比采购投标文件不予接收。</w:t>
      </w:r>
    </w:p>
    <w:p w14:paraId="7D8FFAF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7、评审纪律、评审原则和标准将在评审会议上宣布；</w:t>
      </w:r>
    </w:p>
    <w:p w14:paraId="44C31B0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8、评标委员会成员应当遵守评审工作纪律，不得泄露评审文件、评审情况和评审中获悉的商业秘密；评标委员会在评审过程中发现投标人有行贿、提供虚假材料或者串通等违法行为的，</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应当及时向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建发纪检监察</w:t>
      </w:r>
      <w:r>
        <w:rPr>
          <w:rFonts w:hint="eastAsia" w:asciiTheme="minorEastAsia" w:hAnsiTheme="minorEastAsia" w:eastAsiaTheme="minorEastAsia" w:cstheme="minorEastAsia"/>
          <w:i w:val="0"/>
          <w:iCs w:val="0"/>
          <w:caps w:val="0"/>
          <w:color w:val="1F2329"/>
          <w:spacing w:val="0"/>
          <w:sz w:val="24"/>
          <w:szCs w:val="24"/>
          <w:highlight w:val="none"/>
          <w:shd w:val="clear" w:fill="FFFFFF"/>
        </w:rPr>
        <w:t>部门报告。</w:t>
      </w:r>
    </w:p>
    <w:p w14:paraId="5536FA6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资格性审查响应对照表</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2961E9D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符合性审查响应对照表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514"/>
        <w:gridCol w:w="2452"/>
        <w:gridCol w:w="449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606D52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18703F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资格评审标准</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5AF8F9E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1D26FC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35C5EC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3DF2286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投标函</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4290D54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7AA93C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4C9BE5A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AC7BA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投标报价表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F211E6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投标报价小于等于采购预算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87BD08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2E40AD0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40C2F3F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询比采购投标文件的式样和签署</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DC940B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符合询比采购文件中询比采购投标文件的式样和签署要求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035746E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5981D15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E7D75D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技术参数响应及偏离表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A7E4CC8">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按询比采购文件要求格式提供，投标人技术指标、参数满足询比采购文件中货物技术规格及要求规定的相应技术指标、参数的</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1AAEC7E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0A36C45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43DB43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询比采购投标文件中提供的其他资料”和货物技术规格及要求、商务条款</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16F2EAF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3EAAE1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6B013763">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1F88AEA">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法律、法规和询比采购文件规定的其他无效情形的</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0809C015">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满足或优于法律、法规和询比采购文件相关要求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2D7D876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4B308A4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924CC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713CB2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提供相同品牌产品且通过资格审查、符合性审查的不同投标人参加本项目投标情形的，按一家投标人计算，评审后得分最高的同品牌投标人获得中标人推荐资格；评审得分相同的，将由报价最低的投标人获得中标人推荐资格，其他同品牌投标人不作为中标候选人。</w:t>
      </w:r>
    </w:p>
    <w:p w14:paraId="39F931B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所有算术修正后的投标报价由低到高进行排序，投标价格最低的投标报价为评标基准价，其价格分为满分。价格分统一公式计算：投标报价得分=（投标基准价/投标报价）×0.1×100。注：依据财库[2011]181号关于印发《政府采购促进中小企业发展暂行办法》的通知，此项目投标单位如为小型和微型企业，其投标产品的价格给予6%的扣除，用扣除后的价格参与评审。投标人须附《中小企业声明函》及相关证明材料，否则将不被认可。</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15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7755947">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项目实施方案论述全面、合理（涵盖</w:t>
            </w:r>
            <w:r>
              <w:rPr>
                <w:rFonts w:hint="eastAsia" w:asciiTheme="minorEastAsia" w:hAnsiTheme="minorEastAsia" w:eastAsiaTheme="minorEastAsia" w:cstheme="minorEastAsia"/>
                <w:sz w:val="24"/>
                <w:szCs w:val="24"/>
                <w:highlight w:val="none"/>
                <w:lang w:val="en-US" w:eastAsia="zh-CN" w:bidi="ar"/>
              </w:rPr>
              <w:t>安全保卫</w:t>
            </w:r>
            <w:r>
              <w:rPr>
                <w:rFonts w:hint="eastAsia" w:asciiTheme="minorEastAsia" w:hAnsiTheme="minorEastAsia" w:eastAsiaTheme="minorEastAsia" w:cstheme="minorEastAsia"/>
                <w:sz w:val="24"/>
                <w:szCs w:val="24"/>
                <w:highlight w:val="none"/>
                <w:lang w:bidi="ar"/>
              </w:rPr>
              <w:t>各环节流程、人员安排、设备保障等）的得10-15分；项目实施方案论述全面、合理性一般的得5-9.9分；项目实施方案论述全面、合理性差的得0-4.9分。</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投标人根据项目特点，有完善的售后服务体系，服务措施完善，有科学合理的服务方案（含包含由</w:t>
            </w:r>
            <w:r>
              <w:rPr>
                <w:rFonts w:hint="eastAsia" w:asciiTheme="minorEastAsia" w:hAnsiTheme="minorEastAsia" w:eastAsiaTheme="minorEastAsia" w:cstheme="minorEastAsia"/>
                <w:sz w:val="24"/>
                <w:szCs w:val="24"/>
                <w:highlight w:val="none"/>
                <w:lang w:eastAsia="zh-CN" w:bidi="ar"/>
              </w:rPr>
              <w:t>乙方</w:t>
            </w:r>
            <w:r>
              <w:rPr>
                <w:rFonts w:hint="eastAsia" w:asciiTheme="minorEastAsia" w:hAnsiTheme="minorEastAsia" w:eastAsiaTheme="minorEastAsia" w:cstheme="minorEastAsia"/>
                <w:sz w:val="24"/>
                <w:szCs w:val="24"/>
                <w:highlight w:val="none"/>
                <w:lang w:bidi="ar"/>
              </w:rPr>
              <w:t>承担的对讲机、安保服装、照明灯、应急包等材料费等）的得</w:t>
            </w:r>
            <w:r>
              <w:rPr>
                <w:rFonts w:hint="eastAsia" w:asciiTheme="minorEastAsia" w:hAnsiTheme="minorEastAsia" w:eastAsiaTheme="minorEastAsia" w:cstheme="minorEastAsia"/>
                <w:sz w:val="24"/>
                <w:szCs w:val="24"/>
                <w:highlight w:val="none"/>
                <w:lang w:val="en-US" w:eastAsia="zh-CN" w:bidi="ar"/>
              </w:rPr>
              <w:t>25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24</w:t>
            </w:r>
            <w:r>
              <w:rPr>
                <w:rFonts w:hint="eastAsia" w:asciiTheme="minorEastAsia" w:hAnsiTheme="minorEastAsia" w:eastAsiaTheme="minorEastAsia" w:cstheme="minorEastAsia"/>
                <w:sz w:val="24"/>
                <w:szCs w:val="24"/>
                <w:highlight w:val="none"/>
                <w:lang w:bidi="ar"/>
              </w:rPr>
              <w:t>分；投标人根据项目特点，有售后服务体系，有明确的服务措施和服务方案，得0-</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方案论述全面、合理（含驻场人员配置、工作时间安排、应急保障机制等）的得</w:t>
            </w:r>
            <w:r>
              <w:rPr>
                <w:rFonts w:hint="eastAsia" w:asciiTheme="minorEastAsia" w:hAnsiTheme="minorEastAsia" w:eastAsiaTheme="minorEastAsia" w:cstheme="minorEastAsia"/>
                <w:sz w:val="24"/>
                <w:szCs w:val="24"/>
                <w:highlight w:val="none"/>
                <w:lang w:val="en-US" w:eastAsia="zh-CN" w:bidi="ar"/>
              </w:rPr>
              <w:t>15-20</w:t>
            </w:r>
            <w:r>
              <w:rPr>
                <w:rFonts w:hint="eastAsia" w:asciiTheme="minorEastAsia" w:hAnsiTheme="minorEastAsia" w:eastAsiaTheme="minorEastAsia" w:cstheme="minorEastAsia"/>
                <w:sz w:val="24"/>
                <w:szCs w:val="24"/>
                <w:highlight w:val="none"/>
                <w:lang w:bidi="ar"/>
              </w:rPr>
              <w:t>分；方案论述全面、合理性一般的得</w:t>
            </w:r>
            <w:r>
              <w:rPr>
                <w:rFonts w:hint="eastAsia" w:asciiTheme="minorEastAsia" w:hAnsiTheme="minorEastAsia" w:eastAsiaTheme="minorEastAsia" w:cstheme="minorEastAsia"/>
                <w:sz w:val="24"/>
                <w:szCs w:val="24"/>
                <w:highlight w:val="none"/>
                <w:lang w:val="en-US" w:eastAsia="zh-CN" w:bidi="ar"/>
              </w:rPr>
              <w:t>10</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分；方案论述全面、合理性差的得0-</w:t>
            </w: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3"/>
              <w:keepNext w:val="0"/>
              <w:keepLines w:val="0"/>
              <w:pageBreakBefore w:val="0"/>
              <w:kinsoku/>
              <w:wordWrap/>
              <w:overflowPunct/>
              <w:topLinePunct w:val="0"/>
              <w:bidi w:val="0"/>
              <w:spacing w:line="560" w:lineRule="exact"/>
              <w:ind w:left="16" w:leftChars="0" w:right="0" w:rightChars="0"/>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p>
          <w:p w14:paraId="710CB6B5">
            <w:pPr>
              <w:pStyle w:val="23"/>
              <w:keepNext w:val="0"/>
              <w:keepLines w:val="0"/>
              <w:pageBreakBefore w:val="0"/>
              <w:kinsoku/>
              <w:wordWrap/>
              <w:overflowPunct/>
              <w:topLinePunct w:val="0"/>
              <w:bidi w:val="0"/>
              <w:spacing w:line="560" w:lineRule="exact"/>
              <w:ind w:left="0" w:leftChars="0" w:right="34" w:rightChars="16"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w:t>
            </w:r>
          </w:p>
          <w:p w14:paraId="76C509AE">
            <w:pPr>
              <w:pStyle w:val="23"/>
              <w:keepNext w:val="0"/>
              <w:keepLines w:val="0"/>
              <w:pageBreakBefore w:val="0"/>
              <w:kinsoku/>
              <w:wordWrap/>
              <w:overflowPunct/>
              <w:topLinePunct w:val="0"/>
              <w:bidi w:val="0"/>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3"/>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24"/>
                <w:szCs w:val="24"/>
                <w:highlight w:val="none"/>
                <w:lang w:val="en-US" w:eastAsia="zh-CN"/>
              </w:rPr>
            </w:pPr>
          </w:p>
          <w:p w14:paraId="1D2511F0">
            <w:pPr>
              <w:pStyle w:val="2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3"/>
              <w:keepNext w:val="0"/>
              <w:keepLines w:val="0"/>
              <w:pageBreakBefore w:val="0"/>
              <w:kinsoku/>
              <w:wordWrap/>
              <w:overflowPunct/>
              <w:topLinePunct w:val="0"/>
              <w:bidi w:val="0"/>
              <w:spacing w:before="94" w:line="560" w:lineRule="exact"/>
              <w:ind w:left="110" w:leftChars="0"/>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yellow"/>
              </w:rPr>
              <w:t>根据供应商的业绩情况进行评审，提供近三年</w:t>
            </w:r>
            <w:r>
              <w:rPr>
                <w:rFonts w:hint="eastAsia" w:asciiTheme="minorEastAsia" w:hAnsiTheme="minorEastAsia" w:eastAsiaTheme="minorEastAsia" w:cstheme="minorEastAsia"/>
                <w:sz w:val="24"/>
                <w:szCs w:val="24"/>
                <w:highlight w:val="yellow"/>
                <w:lang w:val="en-US" w:eastAsia="zh-CN"/>
              </w:rPr>
              <w:t>内</w:t>
            </w:r>
            <w:r>
              <w:rPr>
                <w:rFonts w:hint="eastAsia" w:asciiTheme="minorEastAsia" w:hAnsiTheme="minorEastAsia" w:eastAsiaTheme="minorEastAsia" w:cstheme="minorEastAsia"/>
                <w:sz w:val="24"/>
                <w:szCs w:val="24"/>
                <w:highlight w:val="yellow"/>
              </w:rPr>
              <w:t>（以合同签订时间为准）的至少 2 个服务满一年的</w:t>
            </w:r>
            <w:r>
              <w:rPr>
                <w:rFonts w:hint="eastAsia" w:asciiTheme="minorEastAsia" w:hAnsiTheme="minorEastAsia" w:eastAsiaTheme="minorEastAsia" w:cstheme="minorEastAsia"/>
                <w:sz w:val="24"/>
                <w:szCs w:val="24"/>
                <w:highlight w:val="yellow"/>
                <w:lang w:val="en-US" w:eastAsia="zh-CN"/>
              </w:rPr>
              <w:t>写字楼、对公项目</w:t>
            </w:r>
            <w:r>
              <w:rPr>
                <w:rFonts w:hint="eastAsia" w:asciiTheme="minorEastAsia" w:hAnsiTheme="minorEastAsia" w:eastAsiaTheme="minorEastAsia" w:cstheme="minorEastAsia"/>
                <w:sz w:val="24"/>
                <w:szCs w:val="24"/>
                <w:highlight w:val="yellow"/>
              </w:rPr>
              <w:t>业务合同</w:t>
            </w:r>
            <w:r>
              <w:rPr>
                <w:rFonts w:hint="eastAsia" w:asciiTheme="minorEastAsia" w:hAnsiTheme="minorEastAsia" w:eastAsiaTheme="minorEastAsia" w:cstheme="minorEastAsia"/>
                <w:sz w:val="24"/>
                <w:szCs w:val="24"/>
                <w:highlight w:val="yellow"/>
                <w:lang w:val="en-US" w:eastAsia="zh-CN"/>
              </w:rPr>
              <w:t>业绩</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lang w:val="en-US" w:eastAsia="zh-CN"/>
              </w:rPr>
              <w:t>至少包含设施设备维修或秩序维护服务</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rPr>
              <w:t>，并具有履行合同所必需的服务供应和专业技术能力。业绩证明文件包括但不限于：合同首页、服务范围、合同双方盖章的签署页，按</w:t>
            </w:r>
            <w:r>
              <w:rPr>
                <w:rFonts w:hint="eastAsia" w:asciiTheme="minorEastAsia" w:hAnsiTheme="minorEastAsia" w:eastAsiaTheme="minorEastAsia" w:cstheme="minorEastAsia"/>
                <w:sz w:val="24"/>
                <w:szCs w:val="24"/>
                <w:highlight w:val="yellow"/>
                <w:lang w:val="en-US" w:eastAsia="zh-CN"/>
              </w:rPr>
              <w:t>询比采购</w:t>
            </w:r>
            <w:r>
              <w:rPr>
                <w:rFonts w:hint="eastAsia" w:asciiTheme="minorEastAsia" w:hAnsiTheme="minorEastAsia" w:eastAsiaTheme="minorEastAsia" w:cstheme="minorEastAsia"/>
                <w:sz w:val="24"/>
                <w:szCs w:val="24"/>
                <w:highlight w:val="yellow"/>
              </w:rPr>
              <w:t>文件 要求提供以上合同业绩清单。提供一个得</w:t>
            </w:r>
            <w:r>
              <w:rPr>
                <w:rFonts w:hint="eastAsia" w:asciiTheme="minorEastAsia" w:hAnsiTheme="minorEastAsia" w:eastAsiaTheme="minorEastAsia" w:cstheme="minorEastAsia"/>
                <w:sz w:val="24"/>
                <w:szCs w:val="24"/>
                <w:highlight w:val="yellow"/>
                <w:lang w:val="en-US" w:eastAsia="zh-CN"/>
              </w:rPr>
              <w:t>2.</w:t>
            </w:r>
            <w:r>
              <w:rPr>
                <w:rFonts w:hint="eastAsia" w:asciiTheme="minorEastAsia" w:hAnsiTheme="minorEastAsia" w:eastAsiaTheme="minorEastAsia" w:cstheme="minorEastAsia"/>
                <w:sz w:val="24"/>
                <w:szCs w:val="24"/>
                <w:highlight w:val="yellow"/>
              </w:rPr>
              <w:t>5分。</w:t>
            </w:r>
          </w:p>
        </w:tc>
      </w:tr>
    </w:tbl>
    <w:p w14:paraId="043659A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评标结果的确定</w:t>
      </w:r>
    </w:p>
    <w:p w14:paraId="452CE4A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shd w:val="clear" w:fill="FFFFFF"/>
        </w:rPr>
        <w:t>个工作日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内到公司领</w:t>
      </w:r>
      <w:r>
        <w:rPr>
          <w:rFonts w:hint="eastAsia" w:asciiTheme="minorEastAsia" w:hAnsiTheme="minorEastAsia" w:eastAsiaTheme="minorEastAsia" w:cstheme="minorEastAsia"/>
          <w:i w:val="0"/>
          <w:iCs w:val="0"/>
          <w:caps w:val="0"/>
          <w:color w:val="1F2329"/>
          <w:spacing w:val="0"/>
          <w:sz w:val="24"/>
          <w:szCs w:val="24"/>
          <w:shd w:val="clear" w:fill="FFFFFF"/>
        </w:rPr>
        <w:t>取中标通知书，如未按期领取而产生的一切后果，均由中标供应商承担。</w:t>
      </w:r>
    </w:p>
    <w:p w14:paraId="20259AA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3、质疑与投诉投标人对政府采购活动事项有质疑的，可以向采购人或采购招标人提出询问或者质疑。质疑投标人对采购人或采购招标人的答复不满意或者没有答复的，</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投诉。质疑</w:t>
      </w:r>
      <w:r>
        <w:rPr>
          <w:rFonts w:hint="eastAsia" w:asciiTheme="minorEastAsia" w:hAnsiTheme="minorEastAsia" w:eastAsiaTheme="minorEastAsia" w:cstheme="minorEastAsia"/>
          <w:i w:val="0"/>
          <w:iCs w:val="0"/>
          <w:caps w:val="0"/>
          <w:color w:val="1F2329"/>
          <w:spacing w:val="0"/>
          <w:sz w:val="24"/>
          <w:szCs w:val="24"/>
          <w:shd w:val="clear" w:fill="FFFFFF"/>
        </w:rPr>
        <w:t>或者投诉要事实清楚、证据充分，质疑或者投诉材料应当包含质疑或者投诉内容、证据材料、证据材料来源等，材料中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八、合同</w:t>
      </w:r>
    </w:p>
    <w:p w14:paraId="051C056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（一）合同由采购人和中标供应商签订。</w:t>
      </w:r>
    </w:p>
    <w:p w14:paraId="3F63E40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（二）签订合同</w:t>
      </w:r>
    </w:p>
    <w:p w14:paraId="47A9077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w:t>
      </w:r>
    </w:p>
    <w:p w14:paraId="6483322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2、中标供应商应在中标通知书发出后30日内与采购人签订供货合同；</w:t>
      </w:r>
    </w:p>
    <w:p w14:paraId="772B07D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4、如遇中标供应商违约，由预中标候选人（综合得分次高且报价未超出采购预算的供应商）替补，以此类推；</w:t>
      </w:r>
    </w:p>
    <w:p w14:paraId="0E93CCB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服务合同》之依据，并作为合同的附件。</w:t>
      </w:r>
    </w:p>
    <w:p w14:paraId="076F249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服务合同》的相关约定，包括服务期限、服务费用、服务内容、双方权利义务、违约责任、保密条款等核心内容。</w:t>
      </w:r>
    </w:p>
    <w:p w14:paraId="143892F9">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D6F386F">
      <w:pPr>
        <w:pStyle w:val="2"/>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rPr>
        <w:t>第四部分合同草案</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仅供参考</w:t>
      </w:r>
      <w:r>
        <w:rPr>
          <w:rFonts w:hint="eastAsia" w:asciiTheme="minorEastAsia" w:hAnsiTheme="minorEastAsia" w:eastAsiaTheme="minorEastAsia" w:cstheme="minorEastAsia"/>
          <w:b w:val="0"/>
          <w:bCs w:val="0"/>
          <w:color w:val="000000"/>
          <w:sz w:val="24"/>
          <w:szCs w:val="24"/>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综合</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1347E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17A181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63C96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699F1D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716CF2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A335C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21847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5A727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1B84A5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7DF71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D4D2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5A5B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3600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449A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181AD1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77482C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p>
    <w:p w14:paraId="1345373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根据《中华人民共和国</w:t>
      </w:r>
      <w:r>
        <w:rPr>
          <w:rFonts w:hint="eastAsia" w:asciiTheme="minorEastAsia" w:hAnsiTheme="minorEastAsia" w:eastAsiaTheme="minorEastAsia" w:cstheme="minorEastAsia"/>
          <w:color w:val="000000"/>
          <w:kern w:val="0"/>
          <w:sz w:val="28"/>
          <w:szCs w:val="28"/>
          <w:lang w:eastAsia="zh-CN"/>
        </w:rPr>
        <w:t>民法典</w:t>
      </w:r>
      <w:r>
        <w:rPr>
          <w:rFonts w:hint="eastAsia" w:asciiTheme="minorEastAsia" w:hAnsiTheme="minorEastAsia" w:eastAsiaTheme="minorEastAsia" w:cstheme="minorEastAsia"/>
          <w:color w:val="000000"/>
          <w:kern w:val="0"/>
          <w:sz w:val="28"/>
          <w:szCs w:val="28"/>
        </w:rPr>
        <w:t>》等相关法律、法规的规定，</w:t>
      </w:r>
      <w:r>
        <w:rPr>
          <w:rFonts w:hint="eastAsia" w:asciiTheme="minorEastAsia" w:hAnsiTheme="minorEastAsia" w:eastAsiaTheme="minorEastAsia" w:cstheme="minorEastAsia"/>
          <w:sz w:val="28"/>
          <w:szCs w:val="28"/>
          <w:lang w:val="zh-CN"/>
        </w:rPr>
        <w:t>甲方</w:t>
      </w:r>
      <w:r>
        <w:rPr>
          <w:rFonts w:hint="eastAsia" w:asciiTheme="minorEastAsia" w:hAnsiTheme="minorEastAsia" w:eastAsiaTheme="minorEastAsia" w:cstheme="minorEastAsia"/>
          <w:color w:val="000000"/>
          <w:sz w:val="28"/>
          <w:szCs w:val="28"/>
          <w:lang w:val="zh-CN"/>
        </w:rPr>
        <w:t>委托乙方为</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sz w:val="28"/>
          <w:szCs w:val="28"/>
          <w:lang w:val="zh-CN"/>
        </w:rPr>
        <w:t>提</w:t>
      </w:r>
      <w:r>
        <w:rPr>
          <w:rFonts w:hint="eastAsia" w:asciiTheme="minorEastAsia" w:hAnsiTheme="minorEastAsia" w:eastAsiaTheme="minorEastAsia" w:cstheme="minorEastAsia"/>
          <w:color w:val="000000"/>
          <w:kern w:val="0"/>
          <w:sz w:val="28"/>
          <w:szCs w:val="28"/>
          <w:lang w:val="zh-CN"/>
        </w:rPr>
        <w:t>供</w:t>
      </w:r>
      <w:r>
        <w:rPr>
          <w:rFonts w:hint="eastAsia" w:asciiTheme="minorEastAsia" w:hAnsiTheme="minorEastAsia" w:eastAsiaTheme="minorEastAsia" w:cstheme="minorEastAsia"/>
          <w:color w:val="000000"/>
          <w:kern w:val="0"/>
          <w:sz w:val="28"/>
          <w:szCs w:val="28"/>
          <w:lang w:val="en-US" w:eastAsia="zh-CN"/>
        </w:rPr>
        <w:t>综合</w:t>
      </w:r>
      <w:r>
        <w:rPr>
          <w:rFonts w:hint="eastAsia" w:asciiTheme="minorEastAsia" w:hAnsiTheme="minorEastAsia" w:eastAsiaTheme="minorEastAsia" w:cstheme="minorEastAsia"/>
          <w:color w:val="000000"/>
          <w:kern w:val="0"/>
          <w:sz w:val="28"/>
          <w:szCs w:val="28"/>
        </w:rPr>
        <w:t>服务，为明确双方权利义务，特订立本合同，双方共同遵守。</w:t>
      </w:r>
    </w:p>
    <w:p w14:paraId="655D6FA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14:paraId="08C5E33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第一条 </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地址</w:t>
      </w:r>
    </w:p>
    <w:p w14:paraId="753748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color w:val="000000" w:themeColor="text1"/>
          <w:kern w:val="0"/>
          <w:sz w:val="28"/>
          <w:szCs w:val="28"/>
          <w:u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乙方承担</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甲方</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位于</w:t>
      </w:r>
      <w:r>
        <w:rPr>
          <w:rFonts w:hint="eastAsia" w:asciiTheme="minorEastAsia" w:hAnsiTheme="minorEastAsia" w:eastAsiaTheme="minorEastAsia" w:cstheme="minorEastAsia"/>
          <w:color w:val="000000" w:themeColor="text1"/>
          <w:kern w:val="0"/>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none"/>
          <w:lang w:val="en-US" w:eastAsia="zh-CN"/>
        </w:rPr>
        <w:t>的</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服务项</w:t>
      </w:r>
      <w:r>
        <w:rPr>
          <w:rFonts w:hint="eastAsia" w:asciiTheme="minorEastAsia" w:hAnsiTheme="minorEastAsia" w:eastAsiaTheme="minorEastAsia" w:cstheme="minorEastAsia"/>
          <w:color w:val="000000" w:themeColor="text1"/>
          <w:kern w:val="0"/>
          <w:sz w:val="28"/>
          <w:szCs w:val="28"/>
          <w:u w:val="none"/>
          <w:lang w:val="en-US" w:eastAsia="zh-CN"/>
          <w14:textFill>
            <w14:solidFill>
              <w14:schemeClr w14:val="tx1"/>
            </w14:solidFill>
          </w14:textFill>
        </w:rPr>
        <w:t>目。</w:t>
      </w:r>
    </w:p>
    <w:p w14:paraId="0A00BE7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 xml:space="preserve">第二条 </w:t>
      </w:r>
      <w:r>
        <w:rPr>
          <w:rFonts w:hint="eastAsia" w:asciiTheme="minorEastAsia" w:hAnsiTheme="minorEastAsia" w:eastAsiaTheme="minorEastAsia" w:cstheme="minorEastAsia"/>
          <w:color w:val="000000"/>
          <w:sz w:val="28"/>
          <w:szCs w:val="28"/>
        </w:rPr>
        <w:t>服务期限</w:t>
      </w:r>
    </w:p>
    <w:p w14:paraId="65D6229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sz w:val="28"/>
          <w:szCs w:val="28"/>
          <w:lang w:val="en-US" w:eastAsia="zh-CN"/>
        </w:rPr>
        <w:t>本合同服务期</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年。</w:t>
      </w:r>
      <w:r>
        <w:rPr>
          <w:rFonts w:hint="eastAsia" w:asciiTheme="minorEastAsia" w:hAnsiTheme="minorEastAsia" w:eastAsiaTheme="minorEastAsia" w:cstheme="minorEastAsia"/>
          <w:color w:val="000000"/>
          <w:kern w:val="0"/>
          <w:sz w:val="28"/>
          <w:szCs w:val="28"/>
        </w:rPr>
        <w:t>自</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月</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日起至</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月</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日止。</w:t>
      </w:r>
    </w:p>
    <w:p w14:paraId="366F68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如若合同期满后甲方仍需乙方继续为该项目提供服务，甲乙双方需在合同到期前30天协商，双方协商达成一致意见后续签。</w:t>
      </w:r>
    </w:p>
    <w:p w14:paraId="4ABD18D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 xml:space="preserve">第三条 </w:t>
      </w:r>
      <w:r>
        <w:rPr>
          <w:rFonts w:hint="eastAsia" w:asciiTheme="minorEastAsia" w:hAnsiTheme="minorEastAsia" w:eastAsiaTheme="minorEastAsia" w:cstheme="minorEastAsia"/>
          <w:color w:val="000000"/>
          <w:kern w:val="0"/>
          <w:sz w:val="28"/>
          <w:szCs w:val="28"/>
          <w:lang w:val="en-US" w:eastAsia="zh-CN"/>
        </w:rPr>
        <w:t>服务费用、结算</w:t>
      </w:r>
      <w:r>
        <w:rPr>
          <w:rFonts w:hint="eastAsia" w:asciiTheme="minorEastAsia" w:hAnsiTheme="minorEastAsia" w:eastAsiaTheme="minorEastAsia" w:cstheme="minorEastAsia"/>
          <w:sz w:val="28"/>
          <w:szCs w:val="28"/>
          <w:lang w:val="en-US" w:eastAsia="zh-CN"/>
        </w:rPr>
        <w:t>方式及增值税特别约定：</w:t>
      </w:r>
    </w:p>
    <w:p w14:paraId="7927215E">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一、服务费用：</w:t>
      </w:r>
    </w:p>
    <w:p w14:paraId="3D0FCE1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服务费暂定为为人民币</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元/月，（大写：</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）（含税），全年服务费为人民币</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元，（大写：</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）（含税）。此价格为含税价，具体不含税金额及税额根据乙方实际开具发票时所适用的国家法定税率计算确定。</w:t>
      </w:r>
    </w:p>
    <w:p w14:paraId="2369C88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上述服务费为暂定金额，服务费根据乙方每月提供服务人员人次及第六条考核情况等据实结算，即每月实际发生费用按月考勤人数及考核结果计算；若有人员变动以甲方通知书为准。</w:t>
      </w:r>
    </w:p>
    <w:p w14:paraId="216D6EF4">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sz w:val="28"/>
          <w:szCs w:val="28"/>
          <w:u w:val="none"/>
          <w:lang w:val="zh-CN" w:eastAsia="zh-CN"/>
        </w:rPr>
      </w:pPr>
      <w:r>
        <w:rPr>
          <w:rFonts w:hint="eastAsia" w:asciiTheme="minorEastAsia" w:hAnsiTheme="minorEastAsia" w:eastAsiaTheme="minorEastAsia" w:cstheme="minorEastAsia"/>
          <w:sz w:val="28"/>
          <w:szCs w:val="28"/>
          <w:u w:val="none"/>
          <w:lang w:val="zh-CN" w:eastAsia="zh-CN"/>
        </w:rPr>
        <w:t>上述费用已经包含了乙方完成本合同项目工作所需的工资、保险、税金、利润等全部费用，甲方无须再向乙方支付任何费用（工服由甲方提供）。</w:t>
      </w:r>
    </w:p>
    <w:p w14:paraId="09CCBE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二、付款方式：转账</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 xml:space="preserve">            </w:t>
      </w:r>
    </w:p>
    <w:p w14:paraId="4BF4FD40">
      <w:pPr>
        <w:pStyle w:val="13"/>
        <w:keepNext w:val="0"/>
        <w:keepLines w:val="0"/>
        <w:pageBreakBefore w:val="0"/>
        <w:widowControl w:val="0"/>
        <w:numPr>
          <w:ilvl w:val="0"/>
          <w:numId w:val="0"/>
        </w:numPr>
        <w:kinsoku/>
        <w:wordWrap/>
        <w:overflowPunct/>
        <w:topLinePunct w:val="0"/>
        <w:autoSpaceDE/>
        <w:autoSpaceDN/>
        <w:bidi w:val="0"/>
        <w:snapToGrid/>
        <w:spacing w:after="0" w:line="580" w:lineRule="exact"/>
        <w:ind w:firstLine="560" w:firstLineChars="200"/>
        <w:rPr>
          <w:rFonts w:hint="eastAsia"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lang w:val="en-US" w:eastAsia="zh-CN"/>
        </w:rPr>
        <w:t>三、结算方式</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color w:val="auto"/>
          <w:sz w:val="28"/>
          <w:szCs w:val="28"/>
          <w:highlight w:val="none"/>
          <w:lang w:val="en-US" w:eastAsia="zh-CN"/>
        </w:rPr>
        <w:t>按</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sym w:font="Wingdings 2" w:char="0052"/>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lang w:eastAsia="zh-CN"/>
        </w:rPr>
        <w:sym w:font="Wingdings 2" w:char="00A3"/>
      </w:r>
      <w:r>
        <w:rPr>
          <w:rFonts w:hint="eastAsia" w:asciiTheme="minorEastAsia" w:hAnsiTheme="minorEastAsia" w:eastAsiaTheme="minorEastAsia" w:cstheme="minorEastAsia"/>
          <w:color w:val="auto"/>
          <w:sz w:val="28"/>
          <w:szCs w:val="28"/>
          <w:highlight w:val="none"/>
          <w:lang w:val="en-US" w:eastAsia="zh-CN"/>
        </w:rPr>
        <w:t>季度</w:t>
      </w:r>
      <w:r>
        <w:rPr>
          <w:rFonts w:hint="eastAsia" w:asciiTheme="minorEastAsia" w:hAnsiTheme="minorEastAsia" w:eastAsiaTheme="minorEastAsia" w:cstheme="minorEastAsia"/>
          <w:color w:val="auto"/>
          <w:sz w:val="28"/>
          <w:szCs w:val="28"/>
          <w:highlight w:val="none"/>
        </w:rPr>
        <w:sym w:font="Wingdings 2" w:char="00A3"/>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向乙方指定账户支付</w:t>
      </w:r>
      <w:r>
        <w:rPr>
          <w:rFonts w:hint="eastAsia" w:asciiTheme="minorEastAsia" w:hAnsiTheme="minorEastAsia" w:eastAsiaTheme="minorEastAsia" w:cstheme="minorEastAsia"/>
          <w:color w:val="auto"/>
          <w:sz w:val="28"/>
          <w:szCs w:val="28"/>
          <w:highlight w:val="none"/>
          <w:lang w:val="en-US" w:eastAsia="zh-CN"/>
        </w:rPr>
        <w:t>服务费用</w:t>
      </w:r>
      <w:r>
        <w:rPr>
          <w:rFonts w:hint="eastAsia" w:asciiTheme="minorEastAsia" w:hAnsiTheme="minorEastAsia" w:eastAsiaTheme="minorEastAsia" w:cstheme="minorEastAsia"/>
          <w:color w:val="auto"/>
          <w:sz w:val="28"/>
          <w:szCs w:val="28"/>
          <w:highlight w:val="none"/>
          <w:lang w:eastAsia="zh-CN"/>
        </w:rPr>
        <w:t>。</w:t>
      </w:r>
    </w:p>
    <w:p w14:paraId="7002F41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sz w:val="28"/>
          <w:szCs w:val="28"/>
          <w:lang w:val="en-US" w:eastAsia="zh-CN"/>
        </w:rPr>
        <w:t>乙方应向甲方提供符合国家规定的增值税普通发票。乙方在接到甲方开票要求后7日内开具增值税普通发票并送达甲方，甲方签收发票日期为发票送达日期。</w:t>
      </w:r>
    </w:p>
    <w:p w14:paraId="7F97B4D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第四条 服务内容及要求</w:t>
      </w:r>
    </w:p>
    <w:p w14:paraId="2C28654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详情见附件1</w:t>
      </w:r>
    </w:p>
    <w:p w14:paraId="2C4D364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u w:val="none"/>
          <w:lang w:val="en-US" w:eastAsia="zh-CN"/>
        </w:rPr>
      </w:pPr>
    </w:p>
    <w:p w14:paraId="4817322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heme="minorEastAsia" w:hAnsiTheme="minorEastAsia" w:eastAsiaTheme="minorEastAsia" w:cstheme="minorEastAsia"/>
          <w:sz w:val="28"/>
          <w:szCs w:val="28"/>
        </w:rPr>
      </w:pPr>
      <w:bookmarkStart w:id="36" w:name="_Toc18481_WPSOffice_Level1"/>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 xml:space="preserve">第五条  </w:t>
      </w:r>
      <w:r>
        <w:rPr>
          <w:rFonts w:hint="eastAsia" w:asciiTheme="minorEastAsia" w:hAnsiTheme="minorEastAsia" w:eastAsiaTheme="minorEastAsia" w:cstheme="minorEastAsia"/>
          <w:color w:val="000000" w:themeColor="text1"/>
          <w:kern w:val="0"/>
          <w:sz w:val="28"/>
          <w:szCs w:val="28"/>
          <w:lang w:val="zh-CN" w:eastAsia="zh-CN"/>
          <w14:textFill>
            <w14:solidFill>
              <w14:schemeClr w14:val="tx1"/>
            </w14:solidFill>
          </w14:textFill>
        </w:rPr>
        <w:t>双方的权利与义务</w:t>
      </w:r>
      <w:bookmarkEnd w:id="36"/>
    </w:p>
    <w:p w14:paraId="3C3DD93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一、甲方权利和义务</w:t>
      </w:r>
    </w:p>
    <w:p w14:paraId="2AAB9299">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如无特殊情况，甲方应按合同约定及时向乙方支付服务费。</w:t>
      </w:r>
    </w:p>
    <w:p w14:paraId="0E6EF14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20119278">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甲方就本合同约定项目范围内对乙方日常服务工作、人员管理享有监督权、建议权、检查权、考核权，甲方对乙方工作进行不定期品质检查，发现问题乙方需及时改正。</w:t>
      </w:r>
    </w:p>
    <w:p w14:paraId="524388D6">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、甲方应尊重乙方服务人员的人格，对有过错人员可提出批评或处罚，或向其主管领导提出反映，不得采取呵斥、辱骂等职业歧视行为。</w:t>
      </w:r>
    </w:p>
    <w:p w14:paraId="1B8C28F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5、甲方投资购置的资产，其所有权、处置权归属甲方。乙方购置的资产，其所有权、处置权归属乙方。</w:t>
      </w:r>
    </w:p>
    <w:p w14:paraId="33A72272">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zh-CN"/>
        </w:rPr>
        <w:t>6、甲方若发现乙方工作人员偷窃服务场所财产、勾结外人合伙盗窃,将采取相关法律程序进行处理,乙方应赔偿由此给甲方造成的相应损失,甲方可自行在乙方的服务费用中直接扣除。</w:t>
      </w:r>
    </w:p>
    <w:p w14:paraId="3FF4318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rPr>
        <w:t>乙方权利和义务</w:t>
      </w:r>
    </w:p>
    <w:p w14:paraId="54EBCC9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根据有关法律、法规政策及本合同规定，制订相应的管理办法、规章制度、实施细则。</w:t>
      </w:r>
    </w:p>
    <w:p w14:paraId="51593630">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乙方必须遵守</w:t>
      </w:r>
      <w:r>
        <w:rPr>
          <w:rFonts w:hint="eastAsia" w:asciiTheme="minorEastAsia" w:hAnsiTheme="minorEastAsia" w:eastAsiaTheme="minorEastAsia" w:cstheme="minorEastAsia"/>
          <w:sz w:val="28"/>
          <w:szCs w:val="28"/>
          <w:highlight w:val="none"/>
          <w:lang w:eastAsia="zh-CN"/>
        </w:rPr>
        <w:t>项目</w:t>
      </w:r>
      <w:r>
        <w:rPr>
          <w:rFonts w:hint="eastAsia" w:asciiTheme="minorEastAsia" w:hAnsiTheme="minorEastAsia" w:eastAsiaTheme="minorEastAsia" w:cstheme="minorEastAsia"/>
          <w:sz w:val="28"/>
          <w:szCs w:val="28"/>
          <w:highlight w:val="none"/>
        </w:rPr>
        <w:t>有关管理规定</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接受</w:t>
      </w:r>
      <w:r>
        <w:rPr>
          <w:rFonts w:hint="eastAsia" w:asciiTheme="minorEastAsia" w:hAnsiTheme="minorEastAsia" w:eastAsiaTheme="minorEastAsia" w:cstheme="minorEastAsia"/>
          <w:sz w:val="28"/>
          <w:szCs w:val="28"/>
          <w:highlight w:val="none"/>
          <w:lang w:eastAsia="zh-CN"/>
        </w:rPr>
        <w:t>相关</w:t>
      </w:r>
      <w:r>
        <w:rPr>
          <w:rFonts w:hint="eastAsia" w:asciiTheme="minorEastAsia" w:hAnsiTheme="minorEastAsia" w:eastAsiaTheme="minorEastAsia" w:cstheme="minorEastAsia"/>
          <w:sz w:val="28"/>
          <w:szCs w:val="28"/>
          <w:highlight w:val="none"/>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8"/>
          <w:szCs w:val="28"/>
          <w:highlight w:val="none"/>
          <w:lang w:eastAsia="zh-CN"/>
        </w:rPr>
        <w:t>取证</w:t>
      </w:r>
      <w:r>
        <w:rPr>
          <w:rFonts w:hint="eastAsia" w:asciiTheme="minorEastAsia" w:hAnsiTheme="minorEastAsia" w:eastAsiaTheme="minorEastAsia" w:cstheme="minorEastAsia"/>
          <w:sz w:val="28"/>
          <w:szCs w:val="28"/>
          <w:highlight w:val="none"/>
        </w:rPr>
        <w:t>有关投诉，并根据甲方要求及时处理。</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接受甲方按照本合同第</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条</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考核评定</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p>
    <w:p w14:paraId="4F68230C">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zh-CN"/>
        </w:rPr>
        <w:t>乙方必须取得合法经营执照及</w:t>
      </w:r>
      <w:r>
        <w:rPr>
          <w:rFonts w:hint="eastAsia" w:asciiTheme="minorEastAsia" w:hAnsiTheme="minorEastAsia" w:eastAsiaTheme="minorEastAsia" w:cstheme="minorEastAsia"/>
          <w:sz w:val="28"/>
          <w:szCs w:val="28"/>
          <w:highlight w:val="none"/>
        </w:rPr>
        <w:t>相应的资质</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工作人员必须持有有效的资格证书及岗位证书上岗</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zh-CN" w:eastAsia="zh-CN"/>
        </w:rPr>
        <w:t>以便配合各级领导检查，如因违反相关部门要求所发生的罚款、其他费用、责任均由乙方承担。</w:t>
      </w:r>
    </w:p>
    <w:p w14:paraId="2650F166">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乙方应保证派往甲方提供服务的人员身体健康，</w:t>
      </w:r>
      <w:r>
        <w:rPr>
          <w:rFonts w:hint="eastAsia" w:asciiTheme="minorEastAsia" w:hAnsiTheme="minorEastAsia" w:eastAsiaTheme="minorEastAsia" w:cstheme="minorEastAsia"/>
          <w:sz w:val="28"/>
          <w:szCs w:val="28"/>
          <w:highlight w:val="none"/>
          <w:lang w:val="en-US" w:eastAsia="zh-CN"/>
        </w:rPr>
        <w:t>并</w:t>
      </w:r>
      <w:r>
        <w:rPr>
          <w:rFonts w:hint="eastAsia" w:asciiTheme="minorEastAsia" w:hAnsiTheme="minorEastAsia" w:eastAsiaTheme="minorEastAsia" w:cstheme="minorEastAsia"/>
          <w:sz w:val="28"/>
          <w:szCs w:val="28"/>
          <w:highlight w:val="none"/>
        </w:rPr>
        <w:t>取得卫生防疫部门健康证。</w:t>
      </w:r>
      <w:r>
        <w:rPr>
          <w:rFonts w:hint="eastAsia" w:asciiTheme="minorEastAsia" w:hAnsiTheme="minorEastAsia" w:eastAsiaTheme="minorEastAsia" w:cstheme="minorEastAsia"/>
          <w:sz w:val="28"/>
          <w:szCs w:val="28"/>
          <w:highlight w:val="none"/>
          <w:lang w:eastAsia="zh-CN"/>
        </w:rPr>
        <w:t>服务人员</w:t>
      </w:r>
      <w:r>
        <w:rPr>
          <w:rFonts w:hint="eastAsia" w:asciiTheme="minorEastAsia" w:hAnsiTheme="minorEastAsia" w:eastAsiaTheme="minorEastAsia" w:cstheme="minorEastAsia"/>
          <w:sz w:val="28"/>
          <w:szCs w:val="28"/>
          <w:highlight w:val="none"/>
        </w:rPr>
        <w:t>工作时要着统一样式</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标识的工作装</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业务素质高，职业道德好，无不适应服务工作的传染性疾病。</w:t>
      </w:r>
    </w:p>
    <w:p w14:paraId="3555CDC8">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乙方应加强对服务人员的教育和管理，定期或不定期进行检查督导</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保证</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每月不少于1次派出</w:t>
      </w:r>
      <w:r>
        <w:rPr>
          <w:rFonts w:hint="eastAsia" w:asciiTheme="minorEastAsia" w:hAnsiTheme="minorEastAsia" w:eastAsiaTheme="minorEastAsia" w:cstheme="minorEastAsia"/>
          <w:color w:val="000000"/>
          <w:kern w:val="0"/>
          <w:sz w:val="28"/>
          <w:szCs w:val="28"/>
          <w:highlight w:val="none"/>
          <w:lang w:eastAsia="zh-CN"/>
        </w:rPr>
        <w:t>公司高级管理人员同甲方项目负责人沟通工作，</w:t>
      </w:r>
      <w:r>
        <w:rPr>
          <w:rFonts w:hint="eastAsia" w:asciiTheme="minorEastAsia" w:hAnsiTheme="minorEastAsia" w:eastAsiaTheme="minorEastAsia" w:cstheme="minorEastAsia"/>
          <w:sz w:val="28"/>
          <w:szCs w:val="28"/>
          <w:highlight w:val="none"/>
          <w:lang w:val="en-US" w:eastAsia="zh-CN"/>
        </w:rPr>
        <w:t>征求甲方</w:t>
      </w:r>
      <w:r>
        <w:rPr>
          <w:rFonts w:hint="eastAsia" w:asciiTheme="minorEastAsia" w:hAnsiTheme="minorEastAsia" w:eastAsiaTheme="minorEastAsia" w:cstheme="minorEastAsia"/>
          <w:sz w:val="28"/>
          <w:szCs w:val="28"/>
          <w:highlight w:val="none"/>
        </w:rPr>
        <w:t>意见和建议，及时处理存在的问题，</w:t>
      </w:r>
      <w:r>
        <w:rPr>
          <w:rFonts w:hint="eastAsia" w:asciiTheme="minorEastAsia" w:hAnsiTheme="minorEastAsia" w:eastAsiaTheme="minorEastAsia" w:cstheme="minorEastAsia"/>
          <w:sz w:val="28"/>
          <w:szCs w:val="28"/>
          <w:highlight w:val="none"/>
          <w:lang w:val="zh-CN"/>
        </w:rPr>
        <w:t>接受甲方业务指导，</w:t>
      </w:r>
      <w:r>
        <w:rPr>
          <w:rFonts w:hint="eastAsia" w:asciiTheme="minorEastAsia" w:hAnsiTheme="minorEastAsia" w:eastAsiaTheme="minorEastAsia" w:cstheme="minorEastAsia"/>
          <w:sz w:val="28"/>
          <w:szCs w:val="28"/>
          <w:highlight w:val="none"/>
        </w:rPr>
        <w:t>确保服务符合</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rPr>
        <w:t>标准。</w:t>
      </w:r>
      <w:r>
        <w:rPr>
          <w:rFonts w:hint="eastAsia" w:asciiTheme="minorEastAsia" w:hAnsiTheme="minorEastAsia" w:eastAsiaTheme="minorEastAsia" w:cstheme="minorEastAsia"/>
          <w:color w:val="000000"/>
          <w:kern w:val="0"/>
          <w:sz w:val="28"/>
          <w:szCs w:val="28"/>
          <w:highlight w:val="none"/>
        </w:rPr>
        <w:t>乙方提供服务的人员必须保持相对稳定，主管（含主管）以上管理人员更换须经甲方同意。</w:t>
      </w:r>
    </w:p>
    <w:p w14:paraId="74A8C04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乙方要做好员工岗前培训、在职培训及安全普及等工作，培训工作每月至少一次，并做好相关记录</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乙方相关人员除参加本部门的岗位培训外，须参加</w:t>
      </w:r>
      <w:r>
        <w:rPr>
          <w:rFonts w:hint="eastAsia" w:asciiTheme="minorEastAsia" w:hAnsiTheme="minorEastAsia" w:eastAsiaTheme="minorEastAsia" w:cstheme="minorEastAsia"/>
          <w:sz w:val="28"/>
          <w:szCs w:val="28"/>
          <w:highlight w:val="none"/>
          <w:lang w:eastAsia="zh-CN"/>
        </w:rPr>
        <w:t>项目</w:t>
      </w:r>
      <w:r>
        <w:rPr>
          <w:rFonts w:hint="eastAsia" w:asciiTheme="minorEastAsia" w:hAnsiTheme="minorEastAsia" w:eastAsiaTheme="minorEastAsia" w:cstheme="minorEastAsia"/>
          <w:sz w:val="28"/>
          <w:szCs w:val="28"/>
          <w:highlight w:val="none"/>
        </w:rPr>
        <w:t>组织的</w:t>
      </w:r>
      <w:r>
        <w:rPr>
          <w:rFonts w:hint="eastAsia" w:asciiTheme="minorEastAsia" w:hAnsiTheme="minorEastAsia" w:eastAsiaTheme="minorEastAsia" w:cstheme="minorEastAsia"/>
          <w:sz w:val="28"/>
          <w:szCs w:val="28"/>
          <w:highlight w:val="none"/>
          <w:lang w:eastAsia="zh-CN"/>
        </w:rPr>
        <w:t>各项</w:t>
      </w:r>
      <w:r>
        <w:rPr>
          <w:rFonts w:hint="eastAsia" w:asciiTheme="minorEastAsia" w:hAnsiTheme="minorEastAsia" w:eastAsiaTheme="minorEastAsia" w:cstheme="minorEastAsia"/>
          <w:sz w:val="28"/>
          <w:szCs w:val="28"/>
          <w:highlight w:val="none"/>
        </w:rPr>
        <w:t>培训。乙方员工应自觉保持自身良好形象，提高服务意识。</w:t>
      </w:r>
    </w:p>
    <w:p w14:paraId="2071C5FB">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完成</w:t>
      </w:r>
      <w:r>
        <w:rPr>
          <w:rFonts w:hint="eastAsia" w:asciiTheme="minorEastAsia" w:hAnsiTheme="minorEastAsia" w:eastAsiaTheme="minorEastAsia" w:cstheme="minorEastAsia"/>
          <w:sz w:val="28"/>
          <w:szCs w:val="28"/>
          <w:highlight w:val="none"/>
          <w:lang w:eastAsia="zh-CN"/>
        </w:rPr>
        <w:t>甲方</w:t>
      </w:r>
      <w:r>
        <w:rPr>
          <w:rFonts w:hint="eastAsia" w:asciiTheme="minorEastAsia" w:hAnsiTheme="minorEastAsia" w:eastAsiaTheme="minorEastAsia" w:cstheme="minorEastAsia"/>
          <w:sz w:val="28"/>
          <w:szCs w:val="28"/>
          <w:highlight w:val="none"/>
        </w:rPr>
        <w:t>交办的临时性任务，不得无故拖延。配合</w:t>
      </w:r>
      <w:r>
        <w:rPr>
          <w:rFonts w:hint="eastAsia" w:asciiTheme="minorEastAsia" w:hAnsiTheme="minorEastAsia" w:eastAsiaTheme="minorEastAsia" w:cstheme="minorEastAsia"/>
          <w:sz w:val="28"/>
          <w:szCs w:val="28"/>
          <w:highlight w:val="none"/>
          <w:lang w:eastAsia="zh-CN"/>
        </w:rPr>
        <w:t>甲方</w:t>
      </w:r>
      <w:r>
        <w:rPr>
          <w:rFonts w:hint="eastAsia" w:asciiTheme="minorEastAsia" w:hAnsiTheme="minorEastAsia" w:eastAsiaTheme="minorEastAsia" w:cstheme="minorEastAsia"/>
          <w:sz w:val="28"/>
          <w:szCs w:val="28"/>
          <w:highlight w:val="none"/>
        </w:rPr>
        <w:t>接受相关部门的监督和检查， 在服务期内发生各类检查（如上级部门来院检查、迎接评审等），乙方须无条件配合</w:t>
      </w:r>
      <w:r>
        <w:rPr>
          <w:rFonts w:hint="eastAsia" w:asciiTheme="minorEastAsia" w:hAnsiTheme="minorEastAsia" w:eastAsiaTheme="minorEastAsia" w:cstheme="minorEastAsia"/>
          <w:sz w:val="28"/>
          <w:szCs w:val="28"/>
          <w:highlight w:val="none"/>
          <w:lang w:eastAsia="zh-CN"/>
        </w:rPr>
        <w:t>甲方</w:t>
      </w:r>
      <w:r>
        <w:rPr>
          <w:rFonts w:hint="eastAsia" w:asciiTheme="minorEastAsia" w:hAnsiTheme="minorEastAsia" w:eastAsiaTheme="minorEastAsia" w:cstheme="minorEastAsia"/>
          <w:sz w:val="28"/>
          <w:szCs w:val="28"/>
          <w:highlight w:val="none"/>
        </w:rPr>
        <w:t>做好迎检工作，甲方不再向乙方另外支付加班费。</w:t>
      </w:r>
    </w:p>
    <w:p w14:paraId="70FB482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77F01495">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8"/>
          <w:szCs w:val="28"/>
          <w:highlight w:val="none"/>
          <w:lang w:eastAsia="zh-CN"/>
        </w:rPr>
        <w:t>。</w:t>
      </w:r>
    </w:p>
    <w:p w14:paraId="3312A5E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乙方要教育服务人员具有高度责任心，文明操作</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爱护甲方设施和物品，如因人为损坏，乙方应予以赔偿。</w:t>
      </w:r>
    </w:p>
    <w:p w14:paraId="2F297BB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11、在合同服务期限内</w:t>
      </w:r>
      <w:r>
        <w:rPr>
          <w:rFonts w:hint="eastAsia" w:asciiTheme="minorEastAsia" w:hAnsiTheme="minorEastAsia" w:eastAsiaTheme="minorEastAsia" w:cstheme="minorEastAsia"/>
          <w:sz w:val="28"/>
          <w:szCs w:val="28"/>
          <w:highlight w:val="none"/>
        </w:rPr>
        <w:t>,乙方派遣的人员因执行本合同约定的事务与任何第三方发生纠纷,或造成他人伤亡的,均由乙方负责解决,所产生的赔偿费用,由乙方承担。</w:t>
      </w:r>
    </w:p>
    <w:p w14:paraId="102D9D5C">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7B45BCA4">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highlight w:val="none"/>
        </w:rPr>
        <w:t>、乙方与其服务人员</w:t>
      </w:r>
      <w:r>
        <w:rPr>
          <w:rFonts w:hint="eastAsia" w:asciiTheme="minorEastAsia" w:hAnsiTheme="minorEastAsia" w:eastAsiaTheme="minorEastAsia" w:cstheme="minorEastAsia"/>
          <w:sz w:val="28"/>
          <w:szCs w:val="28"/>
          <w:highlight w:val="none"/>
          <w:lang w:eastAsia="zh-CN"/>
        </w:rPr>
        <w:t>应签订劳动合同，</w:t>
      </w:r>
      <w:r>
        <w:rPr>
          <w:rFonts w:hint="eastAsia" w:asciiTheme="minorEastAsia" w:hAnsiTheme="minorEastAsia" w:eastAsiaTheme="minorEastAsia" w:cstheme="minorEastAsia"/>
          <w:sz w:val="28"/>
          <w:szCs w:val="28"/>
          <w:highlight w:val="none"/>
          <w:lang w:val="en-US" w:eastAsia="zh-CN"/>
        </w:rPr>
        <w:t>应</w:t>
      </w:r>
      <w:r>
        <w:rPr>
          <w:rFonts w:hint="eastAsia" w:asciiTheme="minorEastAsia" w:hAnsiTheme="minorEastAsia" w:eastAsiaTheme="minorEastAsia" w:cstheme="minorEastAsia"/>
          <w:sz w:val="28"/>
          <w:szCs w:val="28"/>
          <w:highlight w:val="none"/>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8"/>
          <w:szCs w:val="28"/>
          <w:highlight w:val="none"/>
        </w:rPr>
        <w:t>索赔</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诉求</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包括但不限于劳动纠纷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或受到行政部门的管制或处罚，均由乙方负责解决并全额赔偿。</w:t>
      </w:r>
    </w:p>
    <w:p w14:paraId="6026EF9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8"/>
          <w:szCs w:val="28"/>
          <w:highlight w:val="none"/>
          <w:lang w:eastAsia="zh-CN"/>
        </w:rPr>
        <w:t>平台</w:t>
      </w:r>
      <w:r>
        <w:rPr>
          <w:rFonts w:hint="eastAsia" w:asciiTheme="minorEastAsia" w:hAnsiTheme="minorEastAsia" w:eastAsiaTheme="minorEastAsia" w:cstheme="minorEastAsia"/>
          <w:sz w:val="28"/>
          <w:szCs w:val="28"/>
          <w:highlight w:val="none"/>
        </w:rPr>
        <w:t>的曝光,甲方有权追究由此对甲方带来的损失及影响。</w:t>
      </w:r>
    </w:p>
    <w:p w14:paraId="6D38E140">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15、</w:t>
      </w:r>
      <w:r>
        <w:rPr>
          <w:rFonts w:hint="eastAsia" w:asciiTheme="minorEastAsia" w:hAnsiTheme="minorEastAsia" w:eastAsiaTheme="minorEastAsia" w:cstheme="minorEastAsia"/>
          <w:sz w:val="28"/>
          <w:szCs w:val="28"/>
          <w:highlight w:val="none"/>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8"/>
          <w:szCs w:val="28"/>
          <w:highlight w:val="none"/>
          <w:lang w:eastAsia="zh-CN"/>
        </w:rPr>
        <w:fldChar w:fldCharType="begin"/>
      </w:r>
      <w:r>
        <w:rPr>
          <w:rFonts w:hint="eastAsia" w:asciiTheme="minorEastAsia" w:hAnsiTheme="minorEastAsia" w:eastAsiaTheme="minorEastAsia" w:cstheme="minorEastAsia"/>
          <w:sz w:val="28"/>
          <w:szCs w:val="28"/>
          <w:highlight w:val="none"/>
          <w:lang w:eastAsia="zh-CN"/>
        </w:rPr>
        <w:instrText xml:space="preserve"> HYPERLINK "http://www.fdcew.com/gw/List_202.html" \t "_blank" </w:instrText>
      </w:r>
      <w:r>
        <w:rPr>
          <w:rFonts w:hint="eastAsia" w:asciiTheme="minorEastAsia" w:hAnsiTheme="minorEastAsia" w:eastAsiaTheme="minorEastAsia" w:cstheme="minorEastAsia"/>
          <w:sz w:val="28"/>
          <w:szCs w:val="28"/>
          <w:highlight w:val="none"/>
          <w:lang w:eastAsia="zh-CN"/>
        </w:rPr>
        <w:fldChar w:fldCharType="separate"/>
      </w:r>
      <w:r>
        <w:rPr>
          <w:rFonts w:hint="eastAsia" w:asciiTheme="minorEastAsia" w:hAnsiTheme="minorEastAsia" w:eastAsiaTheme="minorEastAsia" w:cstheme="minorEastAsia"/>
          <w:sz w:val="28"/>
          <w:szCs w:val="28"/>
          <w:highlight w:val="none"/>
          <w:lang w:eastAsia="zh-CN"/>
        </w:rPr>
        <w:t>报告</w:t>
      </w:r>
      <w:r>
        <w:rPr>
          <w:rFonts w:hint="eastAsia" w:asciiTheme="minorEastAsia" w:hAnsiTheme="minorEastAsia" w:eastAsiaTheme="minorEastAsia" w:cstheme="minorEastAsia"/>
          <w:sz w:val="28"/>
          <w:szCs w:val="28"/>
          <w:highlight w:val="none"/>
          <w:lang w:eastAsia="zh-CN"/>
        </w:rPr>
        <w:fldChar w:fldCharType="end"/>
      </w:r>
      <w:r>
        <w:rPr>
          <w:rFonts w:hint="eastAsia" w:asciiTheme="minorEastAsia" w:hAnsiTheme="minorEastAsia" w:eastAsiaTheme="minorEastAsia" w:cstheme="minorEastAsia"/>
          <w:sz w:val="28"/>
          <w:szCs w:val="28"/>
          <w:highlight w:val="none"/>
          <w:lang w:eastAsia="zh-CN"/>
        </w:rPr>
        <w:t>甲方有关人员。</w:t>
      </w:r>
    </w:p>
    <w:p w14:paraId="5AE1FC78">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16、</w:t>
      </w:r>
      <w:r>
        <w:rPr>
          <w:rFonts w:hint="eastAsia" w:asciiTheme="minorEastAsia" w:hAnsiTheme="minorEastAsia" w:eastAsiaTheme="minorEastAsia" w:cstheme="minorEastAsia"/>
          <w:sz w:val="28"/>
          <w:szCs w:val="28"/>
          <w:highlight w:val="none"/>
        </w:rPr>
        <w:t>乙方应教育</w:t>
      </w:r>
      <w:r>
        <w:rPr>
          <w:rFonts w:hint="eastAsia" w:asciiTheme="minorEastAsia" w:hAnsiTheme="minorEastAsia" w:eastAsiaTheme="minorEastAsia" w:cstheme="minorEastAsia"/>
          <w:sz w:val="28"/>
          <w:szCs w:val="28"/>
          <w:highlight w:val="none"/>
          <w:lang w:eastAsia="zh-CN"/>
        </w:rPr>
        <w:t>所有服务</w:t>
      </w:r>
      <w:r>
        <w:rPr>
          <w:rFonts w:hint="eastAsia" w:asciiTheme="minorEastAsia" w:hAnsiTheme="minorEastAsia" w:eastAsiaTheme="minorEastAsia" w:cstheme="minorEastAsia"/>
          <w:sz w:val="28"/>
          <w:szCs w:val="28"/>
          <w:highlight w:val="none"/>
        </w:rPr>
        <w:t>人员遵守</w:t>
      </w:r>
      <w:r>
        <w:rPr>
          <w:rFonts w:hint="eastAsia" w:asciiTheme="minorEastAsia" w:hAnsiTheme="minorEastAsia" w:eastAsiaTheme="minorEastAsia" w:cstheme="minorEastAsia"/>
          <w:sz w:val="28"/>
          <w:szCs w:val="28"/>
          <w:highlight w:val="none"/>
          <w:lang w:eastAsia="zh-CN"/>
        </w:rPr>
        <w:t>项目</w:t>
      </w:r>
      <w:r>
        <w:rPr>
          <w:rFonts w:hint="eastAsia" w:asciiTheme="minorEastAsia" w:hAnsiTheme="minorEastAsia" w:eastAsiaTheme="minorEastAsia" w:cstheme="minorEastAsia"/>
          <w:sz w:val="28"/>
          <w:szCs w:val="28"/>
          <w:highlight w:val="none"/>
        </w:rPr>
        <w:t>有关制度和管理要求，</w:t>
      </w:r>
      <w:r>
        <w:rPr>
          <w:rFonts w:hint="eastAsia" w:asciiTheme="minorEastAsia" w:hAnsiTheme="minorEastAsia" w:eastAsiaTheme="minorEastAsia" w:cstheme="minorEastAsia"/>
          <w:sz w:val="28"/>
          <w:szCs w:val="28"/>
          <w:highlight w:val="none"/>
          <w:lang w:eastAsia="zh-CN"/>
        </w:rPr>
        <w:t>操作当中不影响项目的正</w:t>
      </w:r>
      <w:r>
        <w:rPr>
          <w:rFonts w:hint="eastAsia" w:asciiTheme="minorEastAsia" w:hAnsiTheme="minorEastAsia" w:eastAsiaTheme="minorEastAsia" w:cstheme="minorEastAsia"/>
          <w:sz w:val="28"/>
          <w:szCs w:val="28"/>
          <w:highlight w:val="none"/>
        </w:rPr>
        <w:t>常工作</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自觉保守甲方</w:t>
      </w:r>
      <w:r>
        <w:rPr>
          <w:rFonts w:hint="eastAsia" w:asciiTheme="minorEastAsia" w:hAnsiTheme="minorEastAsia" w:eastAsiaTheme="minorEastAsia" w:cstheme="minorEastAsia"/>
          <w:sz w:val="28"/>
          <w:szCs w:val="28"/>
          <w:highlight w:val="none"/>
          <w:lang w:eastAsia="zh-CN"/>
        </w:rPr>
        <w:t>及项目</w:t>
      </w:r>
      <w:r>
        <w:rPr>
          <w:rFonts w:hint="eastAsia" w:asciiTheme="minorEastAsia" w:hAnsiTheme="minorEastAsia" w:eastAsiaTheme="minorEastAsia" w:cstheme="minorEastAsia"/>
          <w:sz w:val="28"/>
          <w:szCs w:val="28"/>
          <w:highlight w:val="none"/>
        </w:rPr>
        <w:t>秘密，</w:t>
      </w:r>
      <w:r>
        <w:rPr>
          <w:rFonts w:hint="eastAsia" w:asciiTheme="minorEastAsia" w:hAnsiTheme="minorEastAsia" w:eastAsiaTheme="minorEastAsia" w:cstheme="minorEastAsia"/>
          <w:sz w:val="28"/>
          <w:szCs w:val="28"/>
          <w:highlight w:val="none"/>
          <w:lang w:eastAsia="zh-CN"/>
        </w:rPr>
        <w:t>不向外传播项目内情况，本条款在本合同有效期内及终止后一直有效</w:t>
      </w:r>
      <w:r>
        <w:rPr>
          <w:rFonts w:hint="eastAsia" w:asciiTheme="minorEastAsia" w:hAnsiTheme="minorEastAsia" w:eastAsiaTheme="minorEastAsia" w:cstheme="minorEastAsia"/>
          <w:sz w:val="28"/>
          <w:szCs w:val="28"/>
          <w:highlight w:val="none"/>
        </w:rPr>
        <w:t>。</w:t>
      </w:r>
    </w:p>
    <w:p w14:paraId="6B1F2EAE">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17、</w:t>
      </w:r>
      <w:r>
        <w:rPr>
          <w:rFonts w:hint="eastAsia" w:asciiTheme="minorEastAsia" w:hAnsiTheme="minorEastAsia" w:eastAsiaTheme="minorEastAsia" w:cstheme="minorEastAsia"/>
          <w:sz w:val="28"/>
          <w:szCs w:val="28"/>
          <w:highlight w:val="none"/>
        </w:rPr>
        <w:t>乙方在日常经营活动中出现的与甲方无关的、违反国家相关政策和规定的一切行为，均与甲方无关，甲方不承担任何相关的责任和义务。</w:t>
      </w:r>
    </w:p>
    <w:p w14:paraId="3C091A89">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的服务流程、作息时间调整、人员岗位变动、增减人员等与甲方服务合同相关的业务，应及时</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告知</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甲方，经甲方同意后再作调整</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否则，根据情节轻重，接受甲方处罚</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p>
    <w:p w14:paraId="4362EC8A">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en-US" w:eastAsia="zh-CN"/>
        </w:rPr>
        <w:t>19、本合同终止后，新服务企业接管本项目之前，乙方有义务继续为甲方提供该服务项目，甲方应继续给付相应的服务费用，延期一般不超过90天。</w:t>
      </w:r>
    </w:p>
    <w:p w14:paraId="788BA391">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第六条 服务考核办法</w:t>
      </w:r>
    </w:p>
    <w:p w14:paraId="1CD97A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b/>
          <w:bCs/>
          <w:color w:val="000000"/>
          <w:kern w:val="0"/>
          <w:sz w:val="28"/>
          <w:szCs w:val="28"/>
          <w:lang w:eastAsia="zh-CN"/>
        </w:rPr>
      </w:pPr>
      <w:r>
        <w:rPr>
          <w:rFonts w:hint="eastAsia" w:asciiTheme="minorEastAsia" w:hAnsiTheme="minorEastAsia" w:eastAsiaTheme="minorEastAsia" w:cstheme="minorEastAsia"/>
          <w:color w:val="000000"/>
          <w:kern w:val="0"/>
          <w:sz w:val="28"/>
          <w:szCs w:val="28"/>
          <w:lang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8"/>
          <w:szCs w:val="28"/>
          <w:lang w:eastAsia="zh-CN"/>
        </w:rPr>
        <w:t>甲方根据附件中《绩效评价及标准》进行考核，每月为一个考核周期，按</w:t>
      </w:r>
      <w:r>
        <w:rPr>
          <w:rFonts w:hint="eastAsia" w:asciiTheme="minorEastAsia" w:hAnsiTheme="minorEastAsia" w:eastAsiaTheme="minorEastAsia" w:cstheme="minorEastAsia"/>
          <w:b/>
          <w:bCs/>
          <w:color w:val="000000"/>
          <w:kern w:val="0"/>
          <w:sz w:val="28"/>
          <w:szCs w:val="28"/>
          <w:lang w:val="en-US" w:eastAsia="zh-CN"/>
        </w:rPr>
        <w:t>月</w:t>
      </w:r>
      <w:r>
        <w:rPr>
          <w:rFonts w:hint="eastAsia" w:asciiTheme="minorEastAsia" w:hAnsiTheme="minorEastAsia" w:eastAsiaTheme="minorEastAsia" w:cstheme="minorEastAsia"/>
          <w:b/>
          <w:bCs/>
          <w:color w:val="000000"/>
          <w:kern w:val="0"/>
          <w:sz w:val="28"/>
          <w:szCs w:val="28"/>
          <w:lang w:eastAsia="zh-CN"/>
        </w:rPr>
        <w:t>结算。且实际支付服务费的数额与服务方年度考核得分相结合。</w:t>
      </w:r>
    </w:p>
    <w:tbl>
      <w:tblPr>
        <w:tblStyle w:val="15"/>
        <w:tblW w:w="55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22"/>
        <w:gridCol w:w="6717"/>
      </w:tblGrid>
      <w:tr w14:paraId="39E2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095932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w:t>
            </w:r>
            <w:r>
              <w:rPr>
                <w:rFonts w:hint="eastAsia" w:asciiTheme="minorEastAsia" w:hAnsiTheme="minorEastAsia" w:eastAsiaTheme="minorEastAsia" w:cstheme="minorEastAsia"/>
                <w:color w:val="000000"/>
                <w:kern w:val="0"/>
                <w:sz w:val="24"/>
                <w:szCs w:val="24"/>
                <w:lang w:val="en-US" w:eastAsia="zh-CN"/>
              </w:rPr>
              <w:t>月</w:t>
            </w:r>
            <w:r>
              <w:rPr>
                <w:rFonts w:hint="eastAsia" w:asciiTheme="minorEastAsia" w:hAnsiTheme="minorEastAsia" w:eastAsiaTheme="minorEastAsia" w:cstheme="minorEastAsia"/>
                <w:color w:val="000000"/>
                <w:kern w:val="0"/>
                <w:sz w:val="24"/>
                <w:szCs w:val="24"/>
                <w:lang w:eastAsia="zh-CN"/>
              </w:rPr>
              <w:t>综合考核评分</w:t>
            </w:r>
          </w:p>
        </w:tc>
        <w:tc>
          <w:tcPr>
            <w:tcW w:w="3345" w:type="pct"/>
            <w:shd w:val="clear" w:color="auto" w:fill="93CDDD"/>
            <w:vAlign w:val="center"/>
          </w:tcPr>
          <w:p w14:paraId="77BAF6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052F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654" w:type="pct"/>
            <w:vAlign w:val="center"/>
          </w:tcPr>
          <w:p w14:paraId="651715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3345" w:type="pct"/>
            <w:vAlign w:val="center"/>
          </w:tcPr>
          <w:p w14:paraId="374932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度服务费</w:t>
            </w:r>
          </w:p>
        </w:tc>
      </w:tr>
      <w:tr w14:paraId="47FD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654" w:type="pct"/>
            <w:vAlign w:val="center"/>
          </w:tcPr>
          <w:p w14:paraId="07AA8F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3345" w:type="pct"/>
            <w:vAlign w:val="center"/>
          </w:tcPr>
          <w:p w14:paraId="51CD19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度应付服务费的5%</w:t>
            </w:r>
          </w:p>
        </w:tc>
      </w:tr>
      <w:tr w14:paraId="1BE41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54" w:type="pct"/>
            <w:vAlign w:val="center"/>
          </w:tcPr>
          <w:p w14:paraId="3B949B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3345" w:type="pct"/>
            <w:vAlign w:val="center"/>
          </w:tcPr>
          <w:p w14:paraId="535E28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度应付服务费的10%</w:t>
            </w:r>
          </w:p>
        </w:tc>
      </w:tr>
      <w:tr w14:paraId="0304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54" w:type="pct"/>
            <w:vAlign w:val="center"/>
          </w:tcPr>
          <w:p w14:paraId="61B5DF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3345" w:type="pct"/>
            <w:vAlign w:val="center"/>
          </w:tcPr>
          <w:p w14:paraId="2D421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4CF23DC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eastAsia="zh-CN"/>
        </w:rPr>
        <w:t>二、</w:t>
      </w:r>
      <w:r>
        <w:rPr>
          <w:rFonts w:hint="eastAsia" w:asciiTheme="minorEastAsia" w:hAnsiTheme="minorEastAsia" w:eastAsiaTheme="minorEastAsia" w:cstheme="minorEastAsia"/>
          <w:color w:val="000000"/>
          <w:kern w:val="0"/>
          <w:sz w:val="28"/>
          <w:szCs w:val="28"/>
          <w:highlight w:val="none"/>
          <w:lang w:eastAsia="zh-CN"/>
        </w:rPr>
        <w:t>甲方</w:t>
      </w:r>
      <w:r>
        <w:rPr>
          <w:rFonts w:hint="eastAsia" w:asciiTheme="minorEastAsia" w:hAnsiTheme="minorEastAsia" w:eastAsiaTheme="minorEastAsia" w:cstheme="minorEastAsia"/>
          <w:color w:val="000000"/>
          <w:kern w:val="0"/>
          <w:sz w:val="28"/>
          <w:szCs w:val="28"/>
          <w:lang w:eastAsia="zh-CN"/>
        </w:rPr>
        <w:t>服务考核以甲方考核制度为准，考核制度解释权归甲方所有。</w:t>
      </w:r>
    </w:p>
    <w:p w14:paraId="3807DE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zh-CN"/>
        </w:rPr>
      </w:pPr>
      <w:bookmarkStart w:id="37" w:name="_Toc6817_WPSOffice_Level1"/>
      <w:r>
        <w:rPr>
          <w:rFonts w:hint="eastAsia" w:asciiTheme="minorEastAsia" w:hAnsiTheme="minorEastAsia" w:eastAsiaTheme="minorEastAsia" w:cstheme="minorEastAsia"/>
          <w:sz w:val="28"/>
          <w:szCs w:val="28"/>
          <w:lang w:val="en-US" w:eastAsia="zh-CN"/>
        </w:rPr>
        <w:t xml:space="preserve">第七条  </w:t>
      </w:r>
      <w:r>
        <w:rPr>
          <w:rFonts w:hint="eastAsia" w:asciiTheme="minorEastAsia" w:hAnsiTheme="minorEastAsia" w:eastAsiaTheme="minorEastAsia" w:cstheme="minorEastAsia"/>
          <w:sz w:val="28"/>
          <w:szCs w:val="28"/>
          <w:lang w:val="zh-CN"/>
        </w:rPr>
        <w:t>违约责任</w:t>
      </w:r>
      <w:bookmarkEnd w:id="37"/>
    </w:p>
    <w:p w14:paraId="51A4B8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bookmarkStart w:id="38" w:name="_Toc27050_WPSOffice_Level1"/>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如果甲方不再承担该项目的服务，届时本合同自动解除，双方均不承担违约责任。</w:t>
      </w:r>
    </w:p>
    <w:p w14:paraId="3DA91A0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乙方擅自调离</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w:t>
      </w:r>
      <w:r>
        <w:rPr>
          <w:rFonts w:hint="eastAsia" w:asciiTheme="minorEastAsia" w:hAnsiTheme="minorEastAsia" w:eastAsiaTheme="minorEastAsia" w:cstheme="minorEastAsia"/>
          <w:sz w:val="28"/>
          <w:szCs w:val="28"/>
          <w:lang w:eastAsia="zh-CN"/>
        </w:rPr>
        <w:t>缺岗或</w:t>
      </w:r>
      <w:r>
        <w:rPr>
          <w:rFonts w:hint="eastAsia" w:asciiTheme="minorEastAsia" w:hAnsiTheme="minorEastAsia" w:eastAsiaTheme="minorEastAsia" w:cstheme="minorEastAsia"/>
          <w:sz w:val="28"/>
          <w:szCs w:val="28"/>
        </w:rPr>
        <w:t>无故离岗</w:t>
      </w:r>
      <w:r>
        <w:rPr>
          <w:rFonts w:hint="eastAsia" w:asciiTheme="minorEastAsia" w:hAnsiTheme="minorEastAsia" w:eastAsiaTheme="minorEastAsia" w:cstheme="minorEastAsia"/>
          <w:sz w:val="28"/>
          <w:szCs w:val="28"/>
          <w:lang w:val="en-US" w:eastAsia="zh-CN"/>
        </w:rPr>
        <w:t>24小时</w:t>
      </w:r>
      <w:r>
        <w:rPr>
          <w:rFonts w:hint="eastAsia" w:asciiTheme="minorEastAsia" w:hAnsiTheme="minorEastAsia" w:eastAsiaTheme="minorEastAsia" w:cstheme="minorEastAsia"/>
          <w:sz w:val="28"/>
          <w:szCs w:val="28"/>
        </w:rPr>
        <w:t>以上的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乙方派遣的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人员不能完成本合同约定事务,经乙方撤换后,重新派遣的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人员仍不能完成本合同约定事务的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t xml:space="preserve">    4、</w:t>
      </w:r>
      <w:r>
        <w:rPr>
          <w:rFonts w:hint="eastAsia" w:asciiTheme="minorEastAsia" w:hAnsiTheme="minorEastAsia" w:eastAsiaTheme="minorEastAsia" w:cstheme="minorEastAsia"/>
          <w:sz w:val="28"/>
          <w:szCs w:val="28"/>
        </w:rPr>
        <w:t>因乙方派遣的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人员故意或者过失给甲方造成损失的</w:t>
      </w:r>
      <w:r>
        <w:rPr>
          <w:rFonts w:hint="eastAsia" w:asciiTheme="minorEastAsia" w:hAnsiTheme="minorEastAsia" w:eastAsiaTheme="minorEastAsia" w:cstheme="minorEastAsia"/>
          <w:sz w:val="28"/>
          <w:szCs w:val="28"/>
          <w:lang w:eastAsia="zh-CN"/>
        </w:rPr>
        <w:t>；</w:t>
      </w:r>
    </w:p>
    <w:p w14:paraId="4240554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乙方提供的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达不到甲方要求，限期</w:t>
      </w:r>
      <w:r>
        <w:rPr>
          <w:rFonts w:hint="eastAsia" w:asciiTheme="minorEastAsia" w:hAnsiTheme="minorEastAsia" w:eastAsiaTheme="minorEastAsia" w:cstheme="minorEastAsia"/>
          <w:sz w:val="28"/>
          <w:szCs w:val="28"/>
          <w:lang w:val="en-US" w:eastAsia="zh-CN"/>
        </w:rPr>
        <w:t>30天</w:t>
      </w:r>
      <w:r>
        <w:rPr>
          <w:rFonts w:hint="eastAsia" w:asciiTheme="minorEastAsia" w:hAnsiTheme="minorEastAsia" w:eastAsiaTheme="minorEastAsia" w:cstheme="minorEastAsia"/>
          <w:sz w:val="28"/>
          <w:szCs w:val="28"/>
        </w:rPr>
        <w:t>整改无明显效果</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经甲方两次告知,乙方仍不改正的甲方有权解除合同</w:t>
      </w:r>
      <w:r>
        <w:rPr>
          <w:rFonts w:hint="eastAsia" w:asciiTheme="minorEastAsia" w:hAnsiTheme="minorEastAsia" w:eastAsiaTheme="minorEastAsia" w:cstheme="minorEastAsia"/>
          <w:sz w:val="28"/>
          <w:szCs w:val="28"/>
          <w:lang w:eastAsia="zh-CN"/>
        </w:rPr>
        <w:t>并扣除当月服务费用</w:t>
      </w:r>
      <w:r>
        <w:rPr>
          <w:rFonts w:hint="eastAsia" w:asciiTheme="minorEastAsia" w:hAnsiTheme="minorEastAsia" w:eastAsiaTheme="minorEastAsia" w:cstheme="minorEastAsia"/>
          <w:sz w:val="28"/>
          <w:szCs w:val="28"/>
          <w:lang w:val="en-US" w:eastAsia="zh-CN"/>
        </w:rPr>
        <w:t>作为处罚</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乙方从事违法犯罪活动的。</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三</w:t>
      </w:r>
      <w:r>
        <w:rPr>
          <w:rFonts w:hint="eastAsia" w:asciiTheme="minorEastAsia" w:hAnsiTheme="minorEastAsia" w:eastAsiaTheme="minorEastAsia" w:cstheme="minorEastAsia"/>
          <w:sz w:val="28"/>
          <w:szCs w:val="28"/>
        </w:rPr>
        <w:t>、甲乙双方应严格履行合同，如乙方提供的服务长期达不到甲方本协议“第</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条”“第</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条第</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款”所约定的标准与承诺的义务，甲方有权随时解除合同并扣除当月服务费用作为违约金。</w:t>
      </w:r>
    </w:p>
    <w:p w14:paraId="751F8C9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1、甲方未按本合同约定向乙方支付报酬的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2、甲方要求</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人员从事违法犯罪活动的。</w:t>
      </w:r>
    </w:p>
    <w:p w14:paraId="35A9875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收入总额的双倍标准支付违约金，且由乙方承担因此违约行为产生的一切法律后果和赔偿责任。</w:t>
      </w:r>
    </w:p>
    <w:p w14:paraId="7BFE053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本合同生效之后，甲乙双方需认真履行本协议，不得无故单方面解除（本合同第七条第一款、第二款、第三款、第四款、第五款约定情形除外）。任何一方违反协议条款或单方面终止协议，给对方造成经济损失，均由违约方赔偿（包括但不限于律师费、诉讼费、保全费、鉴定费、差旅费）。</w:t>
      </w:r>
    </w:p>
    <w:p w14:paraId="5F946FC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七、因不可抗力无法履行本合同时，发生不可抗力一方应自不可抗力发生之日起3日内以书面形式通知对方。</w:t>
      </w:r>
      <w:r>
        <w:rPr>
          <w:rFonts w:hint="eastAsia" w:asciiTheme="minorEastAsia" w:hAnsiTheme="minorEastAsia" w:eastAsiaTheme="minorEastAsia" w:cstheme="minorEastAsia"/>
          <w:sz w:val="28"/>
          <w:szCs w:val="28"/>
        </w:rPr>
        <w:t>以减轻可能给对方造成的损失,在取得有关机构的不可抗力证明或双方谅解确认后,允许延期履行或修订合同,并根据情况可部分或全部免于承担违约责任。</w:t>
      </w:r>
      <w:r>
        <w:rPr>
          <w:rFonts w:hint="eastAsia" w:asciiTheme="minorEastAsia" w:hAnsiTheme="minorEastAsia" w:eastAsiaTheme="minorEastAsia" w:cstheme="minorEastAsia"/>
          <w:sz w:val="28"/>
          <w:szCs w:val="28"/>
          <w:lang w:val="en-US" w:eastAsia="zh-CN"/>
        </w:rPr>
        <w:t>不可抗力包括但不限于房屋灭失、地震等。</w:t>
      </w:r>
    </w:p>
    <w:bookmarkEnd w:id="38"/>
    <w:p w14:paraId="25D79B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保密条款</w:t>
      </w:r>
    </w:p>
    <w:p w14:paraId="3BB093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乙方对甲方提供的资料负有保密义务,未经甲方同意,不得向项目无关单位和个人提供有关资料。如发生以上情况,甲方有权索赔。</w:t>
      </w:r>
    </w:p>
    <w:p w14:paraId="3FF9C43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九</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争议的解决</w:t>
      </w:r>
    </w:p>
    <w:p w14:paraId="32A2DA0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本合同执行过程中发生的任何争议,如双方不能通过友好协商解决,双方自愿向张家口经济开发区人民法院提起诉讼。</w:t>
      </w:r>
    </w:p>
    <w:p w14:paraId="0B1489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十</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税费</w:t>
      </w:r>
    </w:p>
    <w:p w14:paraId="01F1F25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此项目发生的与本合同执行有关的一切税费均由乙方负担。</w:t>
      </w:r>
    </w:p>
    <w:p w14:paraId="4A3E906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十一</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其它</w:t>
      </w:r>
    </w:p>
    <w:p w14:paraId="76EA480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本合同所有附件为合同的有效组成部分,与本合同具有同等法律效力。</w:t>
      </w:r>
    </w:p>
    <w:p w14:paraId="5B0E235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双方在履行合同期间，如甲方要求增加或减少服务事项，双方应就相应增加或减少的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人员服务费用签订补充协议，所有经双方签署确认的文件(包括会议纪要、补充协议、往来信函)即成为本合同的有效组成部分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与本合同具有同等法律效力。</w:t>
      </w:r>
    </w:p>
    <w:p w14:paraId="3EF6DA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如一方地址、电话、传真号码有变更,应在变更当日内书面通知对方,否则,应承担相应责任。</w:t>
      </w:r>
    </w:p>
    <w:p w14:paraId="16B28FA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本合同一式</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份，</w:t>
      </w:r>
      <w:r>
        <w:rPr>
          <w:rFonts w:hint="eastAsia" w:asciiTheme="minorEastAsia" w:hAnsiTheme="minorEastAsia" w:eastAsiaTheme="minorEastAsia" w:cstheme="minorEastAsia"/>
          <w:sz w:val="28"/>
          <w:szCs w:val="28"/>
          <w:lang w:val="en-US" w:eastAsia="zh-CN"/>
        </w:rPr>
        <w:t>甲乙双方各执两份，效力相同，</w:t>
      </w:r>
      <w:r>
        <w:rPr>
          <w:rFonts w:hint="eastAsia" w:asciiTheme="minorEastAsia" w:hAnsiTheme="minorEastAsia" w:eastAsiaTheme="minorEastAsia" w:cstheme="minorEastAsia"/>
          <w:sz w:val="28"/>
          <w:szCs w:val="28"/>
        </w:rPr>
        <w:t>经签字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盖章</w:t>
      </w:r>
      <w:r>
        <w:rPr>
          <w:rFonts w:hint="eastAsia" w:asciiTheme="minorEastAsia" w:hAnsiTheme="minorEastAsia" w:eastAsiaTheme="minorEastAsia" w:cstheme="minorEastAsia"/>
          <w:sz w:val="28"/>
          <w:szCs w:val="28"/>
        </w:rPr>
        <w:t>之日起生效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未尽事宜双方协商解决。</w:t>
      </w:r>
    </w:p>
    <w:p w14:paraId="3C55BF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甲方（盖章）：                       乙方（盖章）：</w:t>
      </w:r>
    </w:p>
    <w:p w14:paraId="0D0CE89B">
      <w:pPr>
        <w:pStyle w:val="4"/>
        <w:keepNext/>
        <w:keepLines/>
        <w:pageBreakBefore w:val="0"/>
        <w:widowControl w:val="0"/>
        <w:kinsoku/>
        <w:wordWrap/>
        <w:overflowPunct/>
        <w:topLinePunct w:val="0"/>
        <w:autoSpaceDE/>
        <w:autoSpaceDN/>
        <w:bidi w:val="0"/>
        <w:adjustRightInd/>
        <w:snapToGrid/>
        <w:spacing w:line="500" w:lineRule="exact"/>
        <w:textAlignment w:val="auto"/>
        <w:outlineLvl w:val="9"/>
        <w:rPr>
          <w:rFonts w:hint="eastAsia"/>
          <w:lang w:val="zh-CN"/>
        </w:rPr>
      </w:pPr>
    </w:p>
    <w:p w14:paraId="5DA9BB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法定代表人（委托人）：</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zh-CN"/>
        </w:rPr>
        <w:t xml:space="preserve">法定代表人（委托人）： </w:t>
      </w:r>
    </w:p>
    <w:p w14:paraId="2E2A2CB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28"/>
          <w:szCs w:val="28"/>
        </w:rPr>
      </w:pPr>
    </w:p>
    <w:p w14:paraId="240910D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zh-CN"/>
        </w:rPr>
        <w:t>年     月     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年     月     日</w:t>
      </w:r>
    </w:p>
    <w:p w14:paraId="60668F59">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7A3D107B">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lang w:val="en-US" w:eastAsia="zh-CN"/>
        </w:rPr>
      </w:pPr>
      <w:bookmarkStart w:id="39" w:name="_Toc14768"/>
      <w:r>
        <w:rPr>
          <w:rFonts w:hint="eastAsia" w:asciiTheme="minorEastAsia" w:hAnsiTheme="minorEastAsia" w:eastAsiaTheme="minorEastAsia" w:cstheme="minorEastAsia"/>
          <w:b/>
          <w:bCs/>
          <w:sz w:val="24"/>
          <w:szCs w:val="24"/>
          <w:highlight w:val="none"/>
        </w:rPr>
        <w:t>附件一：服务</w:t>
      </w:r>
      <w:r>
        <w:rPr>
          <w:rFonts w:hint="eastAsia" w:asciiTheme="minorEastAsia" w:hAnsiTheme="minorEastAsia" w:eastAsiaTheme="minorEastAsia" w:cstheme="minorEastAsia"/>
          <w:b/>
          <w:bCs/>
          <w:sz w:val="24"/>
          <w:szCs w:val="24"/>
          <w:highlight w:val="none"/>
          <w:lang w:val="en-US" w:eastAsia="zh-CN"/>
        </w:rPr>
        <w:t>和技术要求</w:t>
      </w:r>
    </w:p>
    <w:p w14:paraId="2A316FF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项目设项目主管，对项目整体进行运营、人员管理等负全责。</w:t>
      </w:r>
    </w:p>
    <w:p w14:paraId="1A37AA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小型维修服务</w:t>
      </w:r>
    </w:p>
    <w:p w14:paraId="00D865B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1、房屋建筑物部件、附属构筑物的地面、墙面、台面以及吊顶、门窗、楼梯、通风道等的日常养护及维修。及时完成零修、小修，并做好检修维护记录。</w:t>
      </w:r>
    </w:p>
    <w:p w14:paraId="657EF1C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2、房屋内外给排水系统的供水管路、排水管等设备设施的日常养护及维修。确保设备、阀门、管道正常，无跑冒滴漏现象。保证室内外排水系统通畅。及时完成零修、小修，并做好检修维护记录。</w:t>
      </w:r>
    </w:p>
    <w:p w14:paraId="7A4BD21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电器照明装置日常管理和养护维修。定期巡视维护供电范围内的电气设备，加强对配电箱、控制柜及线路的重点检测，确保公共照明、指示灯具线路、开关保持完好和安全使用。及时完成零修、小修，并做好检修维护记录。</w:t>
      </w:r>
    </w:p>
    <w:p w14:paraId="7811F10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供暖设备、管道的日常养护维修。定期巡检供暖系统及其辅助设备，确保各类设备、仪器仪表、水管路线运行正常，及时排查和消除设备安全隐患和水管跑冒滴漏等问题。及时完成零修、小修，并做好检修维护记录。</w:t>
      </w:r>
    </w:p>
    <w:p w14:paraId="2D2649F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服务期间，设施设备损坏、失效，需要更换、维修的，由乙方出具书面报告书，经甲方现场确认后，单次维修材料费用在500元以上由甲方现场确认后负责支付；单次维修材料费用在500元以下由乙方负责支付，年度总计不超过20000元。</w:t>
      </w:r>
    </w:p>
    <w:p w14:paraId="04313D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中央空调维护服务</w:t>
      </w:r>
    </w:p>
    <w:p w14:paraId="7022DC2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空调系统及管道系统和各类风口、自控系统等设备的日常养护维修。定期季节性维保、清理，保证空调设备设施处于良好状态。制冷、供暖系统温度设定及启用时间符合使用方要求及相关规定和节能要求。至少每年清洗、消毒1次空调和通风管路系统。应及时完成零修、小修，并做好检修维护记录。</w:t>
      </w:r>
    </w:p>
    <w:p w14:paraId="0464E9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消防值机服务</w:t>
      </w:r>
    </w:p>
    <w:p w14:paraId="5F3BD2A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消控室人员实行24小时三班双岗制定。值班人员密切关注消防控制设备的运行状态，实时监测火灾报警信号、消防设备状态等。定期对设备进行巡检，检查设备是否正常运行，有无故障或异常情况。发现问题及时处理，并记录在值班日志中。接到火灾报警信号后，立即确认报警位置和情况。</w:t>
      </w:r>
    </w:p>
    <w:p w14:paraId="36B5F5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消控人员做到熟练掌握消防控制设备的操作方法，能够正确操作设备进行灭火、排烟、疏散等。保持设备清洁，标识清晰，便于操作和识别。</w:t>
      </w:r>
    </w:p>
    <w:p w14:paraId="4BFCA0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秩序维护服务</w:t>
      </w:r>
    </w:p>
    <w:p w14:paraId="0668A47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1、接待来访人员</w:t>
      </w:r>
    </w:p>
    <w:p w14:paraId="6D2F189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主动询问，登记信息准确，及时联系被访人，准确核实工作人员身份。</w:t>
      </w:r>
    </w:p>
    <w:p w14:paraId="28FEE85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2、车辆引导</w:t>
      </w:r>
    </w:p>
    <w:p w14:paraId="1E0AD37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快速完成动作指示，保证车辆登记信息准确，收费计算无误且流程操作及时，及时处理违规停车问题。</w:t>
      </w:r>
    </w:p>
    <w:p w14:paraId="368E85E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3、巡逻</w:t>
      </w:r>
    </w:p>
    <w:p w14:paraId="2F0AFC7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巡逻路线覆盖大厦重点区域，巡逻时间间隔符合规定，准确完整记录问题并及时上报，发现问题后迅速设置现场警示标识。</w:t>
      </w:r>
    </w:p>
    <w:p w14:paraId="3C34276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4、监控室管理</w:t>
      </w:r>
    </w:p>
    <w:p w14:paraId="24B437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监控室值班人员需时时对监控画面进行巡检，查看各摄像头画面是否清晰、正常运行。对重要区域（如出入口、财务室等）进行重点监控关注。当发现异常情况（如盗窃、打斗等）时，立即通过对讲机通知附近巡逻人员和相关负责人前往现场查看处理。同时对异常情况发生过程进行录像保存，以便后续查看分析。定期对监控录像数据进行备份存储，按照规定期限保存录像资料。</w:t>
      </w:r>
    </w:p>
    <w:p w14:paraId="0918B4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发电机房维护</w:t>
      </w:r>
    </w:p>
    <w:p w14:paraId="03D5E7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default" w:asciiTheme="minorEastAsia" w:hAnsiTheme="minorEastAsia" w:eastAsiaTheme="minorEastAsia" w:cstheme="minorEastAsia"/>
          <w:sz w:val="28"/>
          <w:szCs w:val="28"/>
          <w:lang w:val="en-US" w:eastAsia="zh-CN"/>
        </w:rPr>
        <w:t>保持环境清洁</w:t>
      </w:r>
    </w:p>
    <w:p w14:paraId="229F37F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保持发电机外表面及周围环境的清洁，在发电机机壳或内部都不允许放任何物件，要擦净泥沙、油污和尘土，以免阻碍散热，使发电机过热</w:t>
      </w:r>
      <w:r>
        <w:rPr>
          <w:rFonts w:hint="eastAsia" w:asciiTheme="minorEastAsia" w:hAnsiTheme="minorEastAsia" w:eastAsiaTheme="minorEastAsia" w:cstheme="minorEastAsia"/>
          <w:sz w:val="28"/>
          <w:szCs w:val="28"/>
          <w:lang w:val="en-US" w:eastAsia="zh-CN"/>
        </w:rPr>
        <w:t>。</w:t>
      </w:r>
    </w:p>
    <w:p w14:paraId="53A4830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2、检查紧固情况</w:t>
      </w:r>
    </w:p>
    <w:p w14:paraId="6427E8D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检查发电机各部件的紧固情况，包括螺丝、接线端子等，确保其固定牢靠，防止因松动导致的故障。</w:t>
      </w:r>
    </w:p>
    <w:p w14:paraId="10F4C10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3、电气系统检查</w:t>
      </w:r>
    </w:p>
    <w:p w14:paraId="73BC45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检查发电机的电气系统，包括电线、电缆、接线端子等，确保其连接良好，无破损或老化现象。检查电压、电流等参数是否在正常范围内，确保发电机的稳定输出。</w:t>
      </w:r>
    </w:p>
    <w:p w14:paraId="2585A7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避雷检测</w:t>
      </w:r>
    </w:p>
    <w:p w14:paraId="6CC67AD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对楼体进行避雷检测，检测项目涵盖接闪器、引下线、接地装置等，严格依据国家及行业现行相关标准执行，确保检测结果准确、完整。出具相关检测报告。</w:t>
      </w:r>
    </w:p>
    <w:p w14:paraId="793CB2D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监控设备维护服务</w:t>
      </w:r>
    </w:p>
    <w:p w14:paraId="0FCEFF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定期对监控设备部件进行全面检查，包括设备日常巡检，及时发现并处理线路老化、摄像头模糊等问题；定期对设备进行清洁保养，确保设备运行环境良好；当设备出现故障时，乙方在接到通知后1小时内响应，2小时内到达现场维修，保障设备正常运行。</w:t>
      </w:r>
    </w:p>
    <w:p w14:paraId="10E1CB7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en-US" w:eastAsia="zh-CN"/>
        </w:rPr>
      </w:pPr>
    </w:p>
    <w:p w14:paraId="18E80C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:绩效评价及标准</w:t>
      </w:r>
    </w:p>
    <w:p w14:paraId="59ED0A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绩效评价及标准</w:t>
      </w:r>
    </w:p>
    <w:p w14:paraId="04621682">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考核单位：张家口霖辉物业管理集团有限公司              考核时间：  </w:t>
      </w:r>
    </w:p>
    <w:tbl>
      <w:tblPr>
        <w:tblStyle w:val="15"/>
        <w:tblW w:w="9742" w:type="dxa"/>
        <w:tblInd w:w="114"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7"/>
        <w:gridCol w:w="823"/>
        <w:gridCol w:w="1807"/>
        <w:gridCol w:w="4465"/>
        <w:gridCol w:w="576"/>
        <w:gridCol w:w="860"/>
        <w:gridCol w:w="574"/>
        <w:gridCol w:w="10"/>
      </w:tblGrid>
      <w:tr w14:paraId="59D6476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627" w:type="dxa"/>
            <w:tcBorders>
              <w:tl2br w:val="nil"/>
              <w:tr2bl w:val="nil"/>
            </w:tcBorders>
            <w:shd w:val="clear" w:color="000000" w:fill="FFFFFF"/>
            <w:noWrap w:val="0"/>
            <w:vAlign w:val="center"/>
          </w:tcPr>
          <w:p w14:paraId="43F90C8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序号</w:t>
            </w:r>
          </w:p>
        </w:tc>
        <w:tc>
          <w:tcPr>
            <w:tcW w:w="823" w:type="dxa"/>
            <w:tcBorders>
              <w:tl2br w:val="nil"/>
              <w:tr2bl w:val="nil"/>
            </w:tcBorders>
            <w:shd w:val="clear" w:color="000000" w:fill="FFFFFF"/>
            <w:noWrap w:val="0"/>
            <w:vAlign w:val="center"/>
          </w:tcPr>
          <w:p w14:paraId="6BB52BB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rPr>
              <w:t>评价内容</w:t>
            </w:r>
          </w:p>
        </w:tc>
        <w:tc>
          <w:tcPr>
            <w:tcW w:w="6272" w:type="dxa"/>
            <w:gridSpan w:val="2"/>
            <w:tcBorders>
              <w:tl2br w:val="nil"/>
              <w:tr2bl w:val="nil"/>
            </w:tcBorders>
            <w:shd w:val="clear" w:color="000000" w:fill="FFFFFF"/>
            <w:noWrap w:val="0"/>
            <w:vAlign w:val="center"/>
          </w:tcPr>
          <w:p w14:paraId="2BDC638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b w:val="0"/>
                <w:bCs w:val="0"/>
                <w:sz w:val="24"/>
                <w:szCs w:val="24"/>
                <w:highlight w:val="none"/>
              </w:rPr>
              <w:t>绩效评价及标准</w:t>
            </w:r>
          </w:p>
        </w:tc>
        <w:tc>
          <w:tcPr>
            <w:tcW w:w="576" w:type="dxa"/>
            <w:tcBorders>
              <w:tl2br w:val="nil"/>
              <w:tr2bl w:val="nil"/>
            </w:tcBorders>
            <w:shd w:val="clear" w:color="000000" w:fill="FFFFFF"/>
            <w:noWrap w:val="0"/>
            <w:vAlign w:val="center"/>
          </w:tcPr>
          <w:p w14:paraId="1FA30FC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分值</w:t>
            </w:r>
          </w:p>
        </w:tc>
        <w:tc>
          <w:tcPr>
            <w:tcW w:w="860" w:type="dxa"/>
            <w:tcBorders>
              <w:tl2br w:val="nil"/>
              <w:tr2bl w:val="nil"/>
            </w:tcBorders>
            <w:shd w:val="clear" w:color="000000" w:fill="FFFFFF"/>
            <w:noWrap w:val="0"/>
            <w:vAlign w:val="center"/>
          </w:tcPr>
          <w:p w14:paraId="31D44DE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评分细则</w:t>
            </w:r>
          </w:p>
        </w:tc>
        <w:tc>
          <w:tcPr>
            <w:tcW w:w="584" w:type="dxa"/>
            <w:gridSpan w:val="2"/>
            <w:tcBorders>
              <w:tl2br w:val="nil"/>
              <w:tr2bl w:val="nil"/>
            </w:tcBorders>
            <w:shd w:val="clear" w:color="000000" w:fill="FFFFFF"/>
            <w:noWrap w:val="0"/>
            <w:vAlign w:val="center"/>
          </w:tcPr>
          <w:p w14:paraId="545E546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扣分</w:t>
            </w:r>
          </w:p>
        </w:tc>
      </w:tr>
      <w:tr w14:paraId="0978106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restart"/>
            <w:tcBorders>
              <w:tl2br w:val="nil"/>
              <w:tr2bl w:val="nil"/>
            </w:tcBorders>
            <w:noWrap w:val="0"/>
            <w:vAlign w:val="center"/>
          </w:tcPr>
          <w:p w14:paraId="6FF8580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w:t>
            </w:r>
          </w:p>
        </w:tc>
        <w:tc>
          <w:tcPr>
            <w:tcW w:w="823" w:type="dxa"/>
            <w:vMerge w:val="restart"/>
            <w:tcBorders>
              <w:tl2br w:val="nil"/>
              <w:tr2bl w:val="nil"/>
            </w:tcBorders>
            <w:noWrap w:val="0"/>
            <w:vAlign w:val="center"/>
          </w:tcPr>
          <w:p w14:paraId="3A657CA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rPr>
            </w:pPr>
            <w:r>
              <w:rPr>
                <w:rFonts w:hint="eastAsia" w:asciiTheme="minorEastAsia" w:hAnsiTheme="minorEastAsia" w:cstheme="minorEastAsia"/>
                <w:b w:val="0"/>
                <w:bCs w:val="0"/>
                <w:i w:val="0"/>
                <w:iCs w:val="0"/>
                <w:color w:val="000000"/>
                <w:kern w:val="0"/>
                <w:sz w:val="24"/>
                <w:szCs w:val="24"/>
                <w:u w:val="none"/>
                <w:lang w:val="en-US" w:eastAsia="zh-CN" w:bidi="ar"/>
              </w:rPr>
              <w:t>岗位要求</w:t>
            </w:r>
          </w:p>
        </w:tc>
        <w:tc>
          <w:tcPr>
            <w:tcW w:w="6272" w:type="dxa"/>
            <w:gridSpan w:val="2"/>
            <w:tcBorders>
              <w:tl2br w:val="nil"/>
              <w:tr2bl w:val="nil"/>
            </w:tcBorders>
            <w:noWrap w:val="0"/>
            <w:vAlign w:val="center"/>
          </w:tcPr>
          <w:p w14:paraId="01E039B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r>
              <w:rPr>
                <w:rFonts w:hint="eastAsia" w:asciiTheme="minorEastAsia" w:hAnsiTheme="minorEastAsia" w:eastAsiaTheme="minorEastAsia" w:cstheme="minorEastAsia"/>
                <w:sz w:val="24"/>
                <w:szCs w:val="24"/>
                <w:lang w:val="en-US" w:eastAsia="zh-CN"/>
              </w:rPr>
              <w:t>维保作业人员须取得相应特种设备作业人员证（如</w:t>
            </w:r>
            <w:r>
              <w:rPr>
                <w:rFonts w:hint="eastAsia" w:asciiTheme="minorEastAsia" w:hAnsiTheme="minorEastAsia" w:cstheme="minorEastAsia"/>
                <w:b w:val="0"/>
                <w:bCs w:val="0"/>
                <w:i w:val="0"/>
                <w:iCs w:val="0"/>
                <w:color w:val="000000"/>
                <w:kern w:val="0"/>
                <w:sz w:val="24"/>
                <w:szCs w:val="24"/>
                <w:u w:val="none"/>
                <w:lang w:val="en-US" w:eastAsia="zh-CN" w:bidi="ar"/>
              </w:rPr>
              <w:t>消防设施操作员证书</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val="0"/>
                <w:sz w:val="24"/>
                <w:szCs w:val="24"/>
                <w:lang w:val="en-US" w:eastAsia="zh-CN"/>
              </w:rPr>
              <w:t>经过安全技术培训，否则不得从事相关工作</w:t>
            </w:r>
            <w:r>
              <w:rPr>
                <w:rFonts w:hint="eastAsia" w:asciiTheme="minorEastAsia" w:hAnsiTheme="minorEastAsia" w:cstheme="minorEastAsia"/>
                <w:b w:val="0"/>
                <w:bCs w:val="0"/>
                <w:i w:val="0"/>
                <w:iCs w:val="0"/>
                <w:color w:val="000000"/>
                <w:kern w:val="0"/>
                <w:sz w:val="24"/>
                <w:szCs w:val="24"/>
                <w:u w:val="none"/>
                <w:lang w:val="en-US" w:eastAsia="zh-CN" w:bidi="ar"/>
              </w:rPr>
              <w:t>。</w:t>
            </w:r>
          </w:p>
        </w:tc>
        <w:tc>
          <w:tcPr>
            <w:tcW w:w="576" w:type="dxa"/>
            <w:tcBorders>
              <w:tl2br w:val="nil"/>
              <w:tr2bl w:val="nil"/>
            </w:tcBorders>
            <w:noWrap w:val="0"/>
            <w:vAlign w:val="center"/>
          </w:tcPr>
          <w:p w14:paraId="22C164F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tcBorders>
              <w:tl2br w:val="nil"/>
              <w:tr2bl w:val="nil"/>
            </w:tcBorders>
            <w:noWrap w:val="0"/>
            <w:vAlign w:val="center"/>
          </w:tcPr>
          <w:p w14:paraId="0C18412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维保人员不具备资格的扣</w:t>
            </w:r>
            <w:r>
              <w:rPr>
                <w:rFonts w:hint="eastAsia" w:asciiTheme="minorEastAsia" w:hAnsi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分/人次</w:t>
            </w:r>
            <w:r>
              <w:rPr>
                <w:rFonts w:hint="eastAsia" w:asciiTheme="minorEastAsia" w:hAnsiTheme="minorEastAsia" w:cstheme="minorEastAsia"/>
                <w:color w:val="000000"/>
                <w:sz w:val="24"/>
                <w:szCs w:val="24"/>
                <w:highlight w:val="none"/>
                <w:lang w:eastAsia="zh-CN"/>
              </w:rPr>
              <w:t>，且不允许上岗。</w:t>
            </w:r>
          </w:p>
        </w:tc>
        <w:tc>
          <w:tcPr>
            <w:tcW w:w="584" w:type="dxa"/>
            <w:gridSpan w:val="2"/>
            <w:tcBorders>
              <w:tl2br w:val="nil"/>
              <w:tr2bl w:val="nil"/>
            </w:tcBorders>
            <w:noWrap w:val="0"/>
            <w:vAlign w:val="center"/>
          </w:tcPr>
          <w:p w14:paraId="4695FF2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25A74B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66D9168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075A522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276D85A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2.维修人员维修时必须穿长袖衫、长裤、绝缘鞋，使用绝缘工具，严禁穿背心、短裤及不符合电气操作人员的服装，如金属丝钉的纽扣等。</w:t>
            </w:r>
          </w:p>
        </w:tc>
        <w:tc>
          <w:tcPr>
            <w:tcW w:w="576" w:type="dxa"/>
            <w:tcBorders>
              <w:tl2br w:val="nil"/>
              <w:tr2bl w:val="nil"/>
            </w:tcBorders>
            <w:noWrap w:val="0"/>
            <w:vAlign w:val="center"/>
          </w:tcPr>
          <w:p w14:paraId="0C3A062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restart"/>
            <w:tcBorders>
              <w:tl2br w:val="nil"/>
              <w:tr2bl w:val="nil"/>
            </w:tcBorders>
            <w:noWrap w:val="0"/>
            <w:vAlign w:val="center"/>
          </w:tcPr>
          <w:p w14:paraId="73DBB0C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33DD91E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7E3DE6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1F64C5B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08FE6D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014A5A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3.带点维修时，必须两人以上进行，一人监护，一人操作，防止触电、短路等事故的发生，严禁一人独立带电操作。</w:t>
            </w:r>
          </w:p>
        </w:tc>
        <w:tc>
          <w:tcPr>
            <w:tcW w:w="576" w:type="dxa"/>
            <w:tcBorders>
              <w:tl2br w:val="nil"/>
              <w:tr2bl w:val="nil"/>
            </w:tcBorders>
            <w:noWrap w:val="0"/>
            <w:vAlign w:val="center"/>
          </w:tcPr>
          <w:p w14:paraId="7D4FDB7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14E04D4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7BDB05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649276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3E823AF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D27CC8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2C93AB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4.严禁带电挂拆地线，严禁带负荷拉合隔离开关。</w:t>
            </w:r>
          </w:p>
        </w:tc>
        <w:tc>
          <w:tcPr>
            <w:tcW w:w="576" w:type="dxa"/>
            <w:tcBorders>
              <w:tl2br w:val="nil"/>
              <w:tr2bl w:val="nil"/>
            </w:tcBorders>
            <w:noWrap w:val="0"/>
            <w:vAlign w:val="center"/>
          </w:tcPr>
          <w:p w14:paraId="6999419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D2D366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F9AC18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53BFF4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0CB3EC0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49B3E8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15226F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5.设备停电检修时，严格执行安全技术措施，停电、验电时须悬挂临时接电线，设临时遮拦，悬挂标示牌。</w:t>
            </w:r>
          </w:p>
        </w:tc>
        <w:tc>
          <w:tcPr>
            <w:tcW w:w="576" w:type="dxa"/>
            <w:tcBorders>
              <w:tl2br w:val="nil"/>
              <w:tr2bl w:val="nil"/>
            </w:tcBorders>
            <w:noWrap w:val="0"/>
            <w:vAlign w:val="center"/>
          </w:tcPr>
          <w:p w14:paraId="51F9BEB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14A1023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D0828A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57D316A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5A1DBE9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E7F589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405A98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6.在配电室维修时必须遵守配电室的有关规定。</w:t>
            </w:r>
          </w:p>
        </w:tc>
        <w:tc>
          <w:tcPr>
            <w:tcW w:w="576" w:type="dxa"/>
            <w:tcBorders>
              <w:tl2br w:val="nil"/>
              <w:tr2bl w:val="nil"/>
            </w:tcBorders>
            <w:noWrap w:val="0"/>
            <w:vAlign w:val="center"/>
          </w:tcPr>
          <w:p w14:paraId="229D2CA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21B24A1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8F8017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96F1B6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6A366CD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382972F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5FE405F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7.电气设备所有金属外壳要有可靠接地装置。</w:t>
            </w:r>
          </w:p>
        </w:tc>
        <w:tc>
          <w:tcPr>
            <w:tcW w:w="576" w:type="dxa"/>
            <w:tcBorders>
              <w:tl2br w:val="nil"/>
              <w:tr2bl w:val="nil"/>
            </w:tcBorders>
            <w:noWrap w:val="0"/>
            <w:vAlign w:val="center"/>
          </w:tcPr>
          <w:p w14:paraId="3517FBD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9EECDF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0D29C6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3A11A8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6FFCF4A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C5E9DD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4D2823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8.高空作业时戴好安全帽，系好安全带，严禁在工作中上下抛掷工具材料和物品。确需上下传递，用吊绳和吊袋传送。高空工作的下方2米范围内不得堆放物品或易碎物品。</w:t>
            </w:r>
          </w:p>
        </w:tc>
        <w:tc>
          <w:tcPr>
            <w:tcW w:w="576" w:type="dxa"/>
            <w:tcBorders>
              <w:tl2br w:val="nil"/>
              <w:tr2bl w:val="nil"/>
            </w:tcBorders>
            <w:noWrap w:val="0"/>
            <w:vAlign w:val="center"/>
          </w:tcPr>
          <w:p w14:paraId="68115CB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583C5F6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5CC4EA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66D497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13890ED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F2DAC7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981685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9.当发现有掉闸时，电工应立即到现场，首先了解掉闸原因，排除故障方可送电。连续送电不得超过三次，防止影响其它回路使用。</w:t>
            </w:r>
          </w:p>
        </w:tc>
        <w:tc>
          <w:tcPr>
            <w:tcW w:w="576" w:type="dxa"/>
            <w:tcBorders>
              <w:tl2br w:val="nil"/>
              <w:tr2bl w:val="nil"/>
            </w:tcBorders>
            <w:noWrap w:val="0"/>
            <w:vAlign w:val="center"/>
          </w:tcPr>
          <w:p w14:paraId="75C146B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167D9DF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DD4564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07E6CE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5574067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77368AD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37E2ECE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10.根据维修、改造实际情况，每半年修改一次存档的电子版/纸板图纸资料，使存档资料与现场状态保持一致。</w:t>
            </w:r>
          </w:p>
        </w:tc>
        <w:tc>
          <w:tcPr>
            <w:tcW w:w="576" w:type="dxa"/>
            <w:tcBorders>
              <w:tl2br w:val="nil"/>
              <w:tr2bl w:val="nil"/>
            </w:tcBorders>
            <w:noWrap w:val="0"/>
            <w:vAlign w:val="center"/>
          </w:tcPr>
          <w:p w14:paraId="2C072CF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432FB15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8857AA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35CA7F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restart"/>
            <w:tcBorders>
              <w:tl2br w:val="nil"/>
              <w:tr2bl w:val="nil"/>
            </w:tcBorders>
            <w:noWrap w:val="0"/>
            <w:vAlign w:val="center"/>
          </w:tcPr>
          <w:p w14:paraId="27ECCF2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二</w:t>
            </w:r>
          </w:p>
        </w:tc>
        <w:tc>
          <w:tcPr>
            <w:tcW w:w="823" w:type="dxa"/>
            <w:vMerge w:val="restart"/>
            <w:tcBorders>
              <w:tl2br w:val="nil"/>
              <w:tr2bl w:val="nil"/>
            </w:tcBorders>
            <w:noWrap w:val="0"/>
            <w:vAlign w:val="center"/>
          </w:tcPr>
          <w:p w14:paraId="5FFCCB4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消控室</w:t>
            </w:r>
          </w:p>
        </w:tc>
        <w:tc>
          <w:tcPr>
            <w:tcW w:w="6272" w:type="dxa"/>
            <w:gridSpan w:val="2"/>
            <w:tcBorders>
              <w:tl2br w:val="nil"/>
              <w:tr2bl w:val="nil"/>
            </w:tcBorders>
            <w:noWrap w:val="0"/>
            <w:vAlign w:val="center"/>
          </w:tcPr>
          <w:p w14:paraId="5F43B6D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snapToGrid w:val="0"/>
                <w:color w:val="000000"/>
                <w:spacing w:val="9"/>
                <w:w w:val="100"/>
                <w:kern w:val="0"/>
                <w:sz w:val="24"/>
                <w:szCs w:val="24"/>
                <w:lang w:val="en-US" w:eastAsia="zh-CN" w:bidi="ar-SA"/>
              </w:rPr>
              <w:t>1.</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认真遵守各项规章制度，严守劳动纪律，报表记录正确整齐。</w:t>
            </w:r>
          </w:p>
        </w:tc>
        <w:tc>
          <w:tcPr>
            <w:tcW w:w="576" w:type="dxa"/>
            <w:tcBorders>
              <w:tl2br w:val="nil"/>
              <w:tr2bl w:val="nil"/>
            </w:tcBorders>
            <w:noWrap w:val="0"/>
            <w:vAlign w:val="center"/>
          </w:tcPr>
          <w:p w14:paraId="0619CD2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1557A04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0.5</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45BBD86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B1D8FE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79ADB39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27DB9B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57FCA5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snapToGrid w:val="0"/>
                <w:color w:val="000000"/>
                <w:spacing w:val="9"/>
                <w:w w:val="100"/>
                <w:kern w:val="0"/>
                <w:sz w:val="24"/>
                <w:szCs w:val="24"/>
                <w:lang w:val="en-US" w:eastAsia="zh-CN" w:bidi="ar-SA"/>
              </w:rPr>
              <w:t>2.</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值班人员有权禁止外来人员随意入内，大声喧哗</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5477635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7BB31A8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EB0F19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3807A3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8B77D6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C15A05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6EBE98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值班室</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每周全面打扫卫生一次</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036D61B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60" w:type="dxa"/>
            <w:vMerge w:val="continue"/>
            <w:tcBorders>
              <w:tl2br w:val="nil"/>
              <w:tr2bl w:val="nil"/>
            </w:tcBorders>
            <w:noWrap w:val="0"/>
            <w:vAlign w:val="center"/>
          </w:tcPr>
          <w:p w14:paraId="6A6D86D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556EE1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D18267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7615C37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20936A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D285B7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3</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.直流屏柜表面干净无灰尘，定期对柜外壳进行对地绝缘检查，不符合相关要求进行重新接地。</w:t>
            </w:r>
          </w:p>
        </w:tc>
        <w:tc>
          <w:tcPr>
            <w:tcW w:w="576" w:type="dxa"/>
            <w:tcBorders>
              <w:tl2br w:val="nil"/>
              <w:tr2bl w:val="nil"/>
            </w:tcBorders>
            <w:noWrap w:val="0"/>
            <w:vAlign w:val="center"/>
          </w:tcPr>
          <w:p w14:paraId="3FE4FD0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3304224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07A66B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027248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56E1CEF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C9B760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AC2962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4</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.直流屏柜内无放电打火、无异音、无异味，除尘保养，紧固内部主线路，确保螺丝无松动，清理内部灰尘，检查有无放电，拉弧现象及时更换，各仪表电子信号指示正常，损坏故障仪表进行更换。</w:t>
            </w:r>
          </w:p>
        </w:tc>
        <w:tc>
          <w:tcPr>
            <w:tcW w:w="576" w:type="dxa"/>
            <w:tcBorders>
              <w:tl2br w:val="nil"/>
              <w:tr2bl w:val="nil"/>
            </w:tcBorders>
            <w:noWrap w:val="0"/>
            <w:vAlign w:val="center"/>
          </w:tcPr>
          <w:p w14:paraId="1898192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33C6147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13F452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26F823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2EBD665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C60D9B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A8950E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5</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.灯具正常无故障、排气扇运行是否正常，维修或更换故障灯具排气扇，保证光照明度以及通风良好。</w:t>
            </w:r>
          </w:p>
        </w:tc>
        <w:tc>
          <w:tcPr>
            <w:tcW w:w="576" w:type="dxa"/>
            <w:tcBorders>
              <w:tl2br w:val="nil"/>
              <w:tr2bl w:val="nil"/>
            </w:tcBorders>
            <w:noWrap w:val="0"/>
            <w:vAlign w:val="center"/>
          </w:tcPr>
          <w:p w14:paraId="6AF674E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1</w:t>
            </w:r>
          </w:p>
        </w:tc>
        <w:tc>
          <w:tcPr>
            <w:tcW w:w="860" w:type="dxa"/>
            <w:vMerge w:val="continue"/>
            <w:tcBorders>
              <w:tl2br w:val="nil"/>
              <w:tr2bl w:val="nil"/>
            </w:tcBorders>
            <w:noWrap w:val="0"/>
            <w:vAlign w:val="center"/>
          </w:tcPr>
          <w:p w14:paraId="7E3A386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483169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54DC99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3A29691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8D4548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956251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6</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.确保室内温度为26℃，检查空气潮湿度，及时除去湿气。</w:t>
            </w:r>
          </w:p>
        </w:tc>
        <w:tc>
          <w:tcPr>
            <w:tcW w:w="576" w:type="dxa"/>
            <w:tcBorders>
              <w:tl2br w:val="nil"/>
              <w:tr2bl w:val="nil"/>
            </w:tcBorders>
            <w:noWrap w:val="0"/>
            <w:vAlign w:val="center"/>
          </w:tcPr>
          <w:p w14:paraId="074E9D7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6351F8E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7BA7E5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9EF913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50E2D5A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9E01EB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1B11B3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7</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.空调外表整洁运行是否正常、有无异常及漏液情况，拆开空调进行除尘保养，定期清理过滤网，制冷剂缺少进行加氟等。</w:t>
            </w:r>
          </w:p>
        </w:tc>
        <w:tc>
          <w:tcPr>
            <w:tcW w:w="576" w:type="dxa"/>
            <w:tcBorders>
              <w:tl2br w:val="nil"/>
              <w:tr2bl w:val="nil"/>
            </w:tcBorders>
            <w:noWrap w:val="0"/>
            <w:vAlign w:val="center"/>
          </w:tcPr>
          <w:p w14:paraId="098A4B6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179A6A9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5369CD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4B8A41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trPr>
        <w:tc>
          <w:tcPr>
            <w:tcW w:w="627" w:type="dxa"/>
            <w:vMerge w:val="restart"/>
            <w:tcBorders>
              <w:tl2br w:val="nil"/>
              <w:tr2bl w:val="nil"/>
            </w:tcBorders>
            <w:noWrap w:val="0"/>
            <w:vAlign w:val="center"/>
          </w:tcPr>
          <w:p w14:paraId="356ACE6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三</w:t>
            </w:r>
          </w:p>
        </w:tc>
        <w:tc>
          <w:tcPr>
            <w:tcW w:w="823" w:type="dxa"/>
            <w:vMerge w:val="restart"/>
            <w:tcBorders>
              <w:tl2br w:val="nil"/>
              <w:tr2bl w:val="nil"/>
            </w:tcBorders>
            <w:noWrap w:val="0"/>
            <w:vAlign w:val="center"/>
          </w:tcPr>
          <w:p w14:paraId="7ED2C29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巡视检查</w:t>
            </w:r>
          </w:p>
        </w:tc>
        <w:tc>
          <w:tcPr>
            <w:tcW w:w="6272" w:type="dxa"/>
            <w:gridSpan w:val="2"/>
            <w:tcBorders>
              <w:tl2br w:val="nil"/>
              <w:tr2bl w:val="nil"/>
            </w:tcBorders>
            <w:noWrap w:val="0"/>
            <w:vAlign w:val="center"/>
          </w:tcPr>
          <w:p w14:paraId="54B4F3C3">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kern w:val="0"/>
                <w:sz w:val="24"/>
                <w:szCs w:val="24"/>
                <w:lang w:val="en-US" w:eastAsia="zh-CN" w:bidi="ar-SA"/>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值班人员要有高度的责任感，认真监视，细致检查设备运行情况，巡视检查时发现问题及时记录并向物业领导报告，以便及时处理</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6259F11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065A31C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297EFC9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p>
        </w:tc>
      </w:tr>
      <w:tr w14:paraId="1AA2037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9" w:hRule="atLeast"/>
        </w:trPr>
        <w:tc>
          <w:tcPr>
            <w:tcW w:w="627" w:type="dxa"/>
            <w:vMerge w:val="continue"/>
            <w:tcBorders>
              <w:tl2br w:val="nil"/>
              <w:tr2bl w:val="nil"/>
            </w:tcBorders>
            <w:noWrap w:val="0"/>
            <w:vAlign w:val="center"/>
          </w:tcPr>
          <w:p w14:paraId="1FF1C0E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5E2E901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2B1D3C0A">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值班人员应严格按操作票进行倒闸操作，绝对禁止违章操作</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197F8D6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7635905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CB67E0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F70E26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1717457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160406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rPr>
            </w:pPr>
          </w:p>
        </w:tc>
        <w:tc>
          <w:tcPr>
            <w:tcW w:w="6272" w:type="dxa"/>
            <w:gridSpan w:val="2"/>
            <w:tcBorders>
              <w:tl2br w:val="nil"/>
              <w:tr2bl w:val="nil"/>
            </w:tcBorders>
            <w:noWrap w:val="0"/>
            <w:vAlign w:val="center"/>
          </w:tcPr>
          <w:p w14:paraId="48359C2F">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kern w:val="0"/>
                <w:sz w:val="24"/>
                <w:szCs w:val="24"/>
                <w:lang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早班每天巡视检查一次，必要时夜班检查一次。值班人员要及时处理运行中出现的各种故障，最大限度地缩小停电范围，缩短停电时间。</w:t>
            </w:r>
          </w:p>
        </w:tc>
        <w:tc>
          <w:tcPr>
            <w:tcW w:w="576" w:type="dxa"/>
            <w:tcBorders>
              <w:tl2br w:val="nil"/>
              <w:tr2bl w:val="nil"/>
            </w:tcBorders>
            <w:noWrap w:val="0"/>
            <w:vAlign w:val="center"/>
          </w:tcPr>
          <w:p w14:paraId="2C63AFB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5918199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p>
        </w:tc>
        <w:tc>
          <w:tcPr>
            <w:tcW w:w="584" w:type="dxa"/>
            <w:gridSpan w:val="2"/>
            <w:tcBorders>
              <w:tl2br w:val="nil"/>
              <w:tr2bl w:val="nil"/>
            </w:tcBorders>
            <w:noWrap w:val="0"/>
            <w:vAlign w:val="center"/>
          </w:tcPr>
          <w:p w14:paraId="523FB9E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val="en-US" w:eastAsia="zh-CN"/>
              </w:rPr>
            </w:pPr>
          </w:p>
        </w:tc>
      </w:tr>
      <w:tr w14:paraId="64376DC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786E2E7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3EEC60C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7B86DEF7">
            <w:pPr>
              <w:pStyle w:val="6"/>
              <w:keepNext w:val="0"/>
              <w:keepLines w:val="0"/>
              <w:pageBreakBefore w:val="0"/>
              <w:widowControl w:val="0"/>
              <w:suppressLineNumbers w:val="0"/>
              <w:kinsoku/>
              <w:wordWrap/>
              <w:overflowPunct/>
              <w:topLinePunct w:val="0"/>
              <w:autoSpaceDE w:val="0"/>
              <w:autoSpaceDN w:val="0"/>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4</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巡视检查内容：变压器温升，油位高低，漏油情况，仪表指示情况，变压器高、低压瓷瓶，高、低压开关，高、低压电容，母线接头是否过热</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576" w:type="dxa"/>
            <w:tcBorders>
              <w:tl2br w:val="nil"/>
              <w:tr2bl w:val="nil"/>
            </w:tcBorders>
            <w:noWrap w:val="0"/>
            <w:vAlign w:val="center"/>
          </w:tcPr>
          <w:p w14:paraId="6C31565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568227B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5A9B1C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725534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restart"/>
            <w:tcBorders>
              <w:tl2br w:val="nil"/>
              <w:tr2bl w:val="nil"/>
            </w:tcBorders>
            <w:noWrap w:val="0"/>
            <w:vAlign w:val="center"/>
          </w:tcPr>
          <w:p w14:paraId="751E5E7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四</w:t>
            </w:r>
          </w:p>
        </w:tc>
        <w:tc>
          <w:tcPr>
            <w:tcW w:w="823" w:type="dxa"/>
            <w:vMerge w:val="restart"/>
            <w:tcBorders>
              <w:tl2br w:val="nil"/>
              <w:tr2bl w:val="nil"/>
            </w:tcBorders>
            <w:noWrap w:val="0"/>
            <w:vAlign w:val="center"/>
          </w:tcPr>
          <w:p w14:paraId="34BF6F5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交接班制</w:t>
            </w:r>
          </w:p>
        </w:tc>
        <w:tc>
          <w:tcPr>
            <w:tcW w:w="6272" w:type="dxa"/>
            <w:gridSpan w:val="2"/>
            <w:tcBorders>
              <w:tl2br w:val="nil"/>
              <w:tr2bl w:val="nil"/>
            </w:tcBorders>
            <w:noWrap w:val="0"/>
            <w:vAlign w:val="center"/>
          </w:tcPr>
          <w:p w14:paraId="4A90BFBA">
            <w:pPr>
              <w:pStyle w:val="6"/>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接班人员应提前10分钟到岗接班，双方认为交接情况清楚无问题后，交接班方可结束。</w:t>
            </w:r>
          </w:p>
        </w:tc>
        <w:tc>
          <w:tcPr>
            <w:tcW w:w="576" w:type="dxa"/>
            <w:tcBorders>
              <w:tl2br w:val="nil"/>
              <w:tr2bl w:val="nil"/>
            </w:tcBorders>
            <w:noWrap w:val="0"/>
            <w:vAlign w:val="center"/>
          </w:tcPr>
          <w:p w14:paraId="58A4BF7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restart"/>
            <w:tcBorders>
              <w:tl2br w:val="nil"/>
              <w:tr2bl w:val="nil"/>
            </w:tcBorders>
            <w:noWrap w:val="0"/>
            <w:vAlign w:val="center"/>
          </w:tcPr>
          <w:p w14:paraId="13A8B8F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0.5</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328412C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414EA4E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4AB85A0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32A933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470D861">
            <w:pPr>
              <w:pStyle w:val="6"/>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禁止在倒闸操作时交接班，禁止在处理事故时交接班。</w:t>
            </w:r>
          </w:p>
        </w:tc>
        <w:tc>
          <w:tcPr>
            <w:tcW w:w="576" w:type="dxa"/>
            <w:tcBorders>
              <w:tl2br w:val="nil"/>
              <w:tr2bl w:val="nil"/>
            </w:tcBorders>
            <w:noWrap w:val="0"/>
            <w:vAlign w:val="center"/>
          </w:tcPr>
          <w:p w14:paraId="29E81F2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2CDDA89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056878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D3CD1F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66639A7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F99108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C9B9F03">
            <w:pPr>
              <w:pStyle w:val="6"/>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0" w:firstLineChars="0"/>
              <w:jc w:val="both"/>
              <w:textAlignment w:val="baseline"/>
              <w:outlineLvl w:val="9"/>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认真填写好运行日志和本班工作小结，将交接班事项填写清楚，做到交接两清</w:t>
            </w:r>
          </w:p>
        </w:tc>
        <w:tc>
          <w:tcPr>
            <w:tcW w:w="576" w:type="dxa"/>
            <w:tcBorders>
              <w:tl2br w:val="nil"/>
              <w:tr2bl w:val="nil"/>
            </w:tcBorders>
            <w:noWrap w:val="0"/>
            <w:vAlign w:val="center"/>
          </w:tcPr>
          <w:p w14:paraId="6A62F4E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2</w:t>
            </w:r>
          </w:p>
        </w:tc>
        <w:tc>
          <w:tcPr>
            <w:tcW w:w="860" w:type="dxa"/>
            <w:vMerge w:val="continue"/>
            <w:tcBorders>
              <w:tl2br w:val="nil"/>
              <w:tr2bl w:val="nil"/>
            </w:tcBorders>
            <w:noWrap w:val="0"/>
            <w:vAlign w:val="center"/>
          </w:tcPr>
          <w:p w14:paraId="0CA9D7C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C9BBCB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93B25E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restart"/>
            <w:tcBorders>
              <w:tl2br w:val="nil"/>
              <w:tr2bl w:val="nil"/>
            </w:tcBorders>
            <w:noWrap w:val="0"/>
            <w:vAlign w:val="center"/>
          </w:tcPr>
          <w:p w14:paraId="2B1230C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五</w:t>
            </w:r>
          </w:p>
        </w:tc>
        <w:tc>
          <w:tcPr>
            <w:tcW w:w="823" w:type="dxa"/>
            <w:vMerge w:val="restart"/>
            <w:tcBorders>
              <w:tl2br w:val="nil"/>
              <w:tr2bl w:val="nil"/>
            </w:tcBorders>
            <w:noWrap w:val="0"/>
            <w:vAlign w:val="center"/>
          </w:tcPr>
          <w:p w14:paraId="17D0B70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监控设备维护</w:t>
            </w:r>
          </w:p>
        </w:tc>
        <w:tc>
          <w:tcPr>
            <w:tcW w:w="6272" w:type="dxa"/>
            <w:gridSpan w:val="2"/>
            <w:tcBorders>
              <w:tl2br w:val="nil"/>
              <w:tr2bl w:val="nil"/>
            </w:tcBorders>
            <w:noWrap w:val="0"/>
            <w:vAlign w:val="center"/>
          </w:tcPr>
          <w:p w14:paraId="5E05792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宋体" w:hAnsi="宋体" w:cs="宋体"/>
                <w:spacing w:val="-1"/>
                <w:sz w:val="24"/>
                <w:szCs w:val="24"/>
                <w:lang w:val="en-US" w:eastAsia="zh-CN"/>
              </w:rPr>
              <w:t>定期对监控设备部件进行全面检查，一旦发现老化现象应及时更换、维修，如视频头等。</w:t>
            </w:r>
          </w:p>
        </w:tc>
        <w:tc>
          <w:tcPr>
            <w:tcW w:w="576" w:type="dxa"/>
            <w:tcBorders>
              <w:tl2br w:val="nil"/>
              <w:tr2bl w:val="nil"/>
            </w:tcBorders>
            <w:noWrap w:val="0"/>
            <w:vAlign w:val="center"/>
          </w:tcPr>
          <w:p w14:paraId="5A67BB7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421FD31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4DF4E26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4060D7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2C643AC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C3B5C7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3B8D71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z w:val="24"/>
                <w:szCs w:val="24"/>
              </w:rPr>
              <w:t>维护、</w:t>
            </w:r>
            <w:r>
              <w:rPr>
                <w:rFonts w:hint="eastAsia" w:asciiTheme="minorEastAsia" w:hAnsiTheme="minorEastAsia" w:eastAsiaTheme="minorEastAsia" w:cstheme="minorEastAsia"/>
                <w:color w:val="000000"/>
                <w:sz w:val="24"/>
                <w:szCs w:val="24"/>
              </w:rPr>
              <w:t>检修故障作业时维保人员应告知项目管理处，并铺设安全围栏及警示标语；</w:t>
            </w:r>
            <w:r>
              <w:rPr>
                <w:rFonts w:hint="eastAsia" w:asciiTheme="minorEastAsia" w:hAnsiTheme="minorEastAsia" w:eastAsiaTheme="minorEastAsia" w:cstheme="minorEastAsia"/>
                <w:color w:val="000000"/>
                <w:sz w:val="24"/>
                <w:szCs w:val="24"/>
                <w:lang w:eastAsia="zh-CN"/>
              </w:rPr>
              <w:t>；</w:t>
            </w:r>
          </w:p>
        </w:tc>
        <w:tc>
          <w:tcPr>
            <w:tcW w:w="576" w:type="dxa"/>
            <w:tcBorders>
              <w:tl2br w:val="nil"/>
              <w:tr2bl w:val="nil"/>
            </w:tcBorders>
            <w:noWrap w:val="0"/>
            <w:vAlign w:val="center"/>
          </w:tcPr>
          <w:p w14:paraId="1FED0F8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D6D76F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AF7796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5F6F7C3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trPr>
        <w:tc>
          <w:tcPr>
            <w:tcW w:w="627" w:type="dxa"/>
            <w:vMerge w:val="restart"/>
            <w:tcBorders>
              <w:tl2br w:val="nil"/>
              <w:tr2bl w:val="nil"/>
            </w:tcBorders>
            <w:noWrap w:val="0"/>
            <w:vAlign w:val="center"/>
          </w:tcPr>
          <w:p w14:paraId="6D0A1AB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kern w:val="0"/>
                <w:sz w:val="24"/>
                <w:szCs w:val="24"/>
                <w:u w:val="none"/>
                <w:lang w:val="en-US" w:eastAsia="zh-CN" w:bidi="ar"/>
              </w:rPr>
              <w:t>六</w:t>
            </w:r>
          </w:p>
        </w:tc>
        <w:tc>
          <w:tcPr>
            <w:tcW w:w="823" w:type="dxa"/>
            <w:vMerge w:val="restart"/>
            <w:tcBorders>
              <w:tl2br w:val="nil"/>
              <w:tr2bl w:val="nil"/>
            </w:tcBorders>
            <w:noWrap w:val="0"/>
            <w:vAlign w:val="center"/>
          </w:tcPr>
          <w:p w14:paraId="519F237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空调维保</w:t>
            </w:r>
          </w:p>
        </w:tc>
        <w:tc>
          <w:tcPr>
            <w:tcW w:w="6272" w:type="dxa"/>
            <w:gridSpan w:val="2"/>
            <w:tcBorders>
              <w:tl2br w:val="nil"/>
              <w:tr2bl w:val="nil"/>
            </w:tcBorders>
            <w:noWrap w:val="0"/>
            <w:vAlign w:val="center"/>
          </w:tcPr>
          <w:p w14:paraId="678D72D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1.起动柜内无放电打火、无异音、无异味，定期对高压柜外壳进行对地绝缘检查，不符合相关要求进行重新接地。</w:t>
            </w:r>
          </w:p>
        </w:tc>
        <w:tc>
          <w:tcPr>
            <w:tcW w:w="576" w:type="dxa"/>
            <w:tcBorders>
              <w:tl2br w:val="nil"/>
              <w:tr2bl w:val="nil"/>
            </w:tcBorders>
            <w:noWrap w:val="0"/>
            <w:vAlign w:val="center"/>
          </w:tcPr>
          <w:p w14:paraId="64ACA27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4D929A2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5DCA9F9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3F6F732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627" w:type="dxa"/>
            <w:vMerge w:val="continue"/>
            <w:tcBorders>
              <w:tl2br w:val="nil"/>
              <w:tr2bl w:val="nil"/>
            </w:tcBorders>
            <w:noWrap w:val="0"/>
            <w:vAlign w:val="center"/>
          </w:tcPr>
          <w:p w14:paraId="10FB8F0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DB3FE1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0C4CC7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2.补偿柜内无放电打火、无异音、无异味，紧紧固内部主线路，确保螺丝无松动，清理内部灰尘，检查有无放电，拉弧现象及时更换，各仪表电子信号指示正常，损坏故障仪表进行更换。</w:t>
            </w:r>
          </w:p>
        </w:tc>
        <w:tc>
          <w:tcPr>
            <w:tcW w:w="576" w:type="dxa"/>
            <w:tcBorders>
              <w:tl2br w:val="nil"/>
              <w:tr2bl w:val="nil"/>
            </w:tcBorders>
            <w:noWrap w:val="0"/>
            <w:vAlign w:val="center"/>
          </w:tcPr>
          <w:p w14:paraId="24CA79E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97E2FE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181744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76A5CB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627" w:type="dxa"/>
            <w:vMerge w:val="continue"/>
            <w:tcBorders>
              <w:tl2br w:val="nil"/>
              <w:tr2bl w:val="nil"/>
            </w:tcBorders>
            <w:noWrap w:val="0"/>
            <w:vAlign w:val="center"/>
          </w:tcPr>
          <w:p w14:paraId="170AD60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C351B8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B8CA19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3.灯具正常无故障、排气扇运行是否正常，维修或更换故障灯具排气扇，保证光照明度以及通风良好。</w:t>
            </w:r>
          </w:p>
        </w:tc>
        <w:tc>
          <w:tcPr>
            <w:tcW w:w="576" w:type="dxa"/>
            <w:tcBorders>
              <w:tl2br w:val="nil"/>
              <w:tr2bl w:val="nil"/>
            </w:tcBorders>
            <w:noWrap w:val="0"/>
            <w:vAlign w:val="center"/>
          </w:tcPr>
          <w:p w14:paraId="5DF7D82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F651B4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704294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A6319D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1051829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kern w:val="2"/>
                <w:sz w:val="24"/>
                <w:szCs w:val="24"/>
                <w:highlight w:val="none"/>
                <w:lang w:val="en-US" w:eastAsia="zh-CN" w:bidi="ar-SA"/>
              </w:rPr>
            </w:pPr>
          </w:p>
        </w:tc>
        <w:tc>
          <w:tcPr>
            <w:tcW w:w="823" w:type="dxa"/>
            <w:vMerge w:val="continue"/>
            <w:tcBorders>
              <w:tl2br w:val="nil"/>
              <w:tr2bl w:val="nil"/>
            </w:tcBorders>
            <w:noWrap w:val="0"/>
            <w:vAlign w:val="center"/>
          </w:tcPr>
          <w:p w14:paraId="6585C4E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rPr>
            </w:pPr>
          </w:p>
        </w:tc>
        <w:tc>
          <w:tcPr>
            <w:tcW w:w="6272" w:type="dxa"/>
            <w:gridSpan w:val="2"/>
            <w:tcBorders>
              <w:tl2br w:val="nil"/>
              <w:tr2bl w:val="nil"/>
            </w:tcBorders>
            <w:noWrap w:val="0"/>
            <w:vAlign w:val="center"/>
          </w:tcPr>
          <w:p w14:paraId="1D3AFEC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4.确保室内温度为26℃，检查空气潮湿度，及时除去湿气。</w:t>
            </w:r>
          </w:p>
        </w:tc>
        <w:tc>
          <w:tcPr>
            <w:tcW w:w="576" w:type="dxa"/>
            <w:tcBorders>
              <w:tl2br w:val="nil"/>
              <w:tr2bl w:val="nil"/>
            </w:tcBorders>
            <w:noWrap w:val="0"/>
            <w:vAlign w:val="center"/>
          </w:tcPr>
          <w:p w14:paraId="09AACC9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4CE4EC7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rPr>
            </w:pPr>
          </w:p>
        </w:tc>
        <w:tc>
          <w:tcPr>
            <w:tcW w:w="584" w:type="dxa"/>
            <w:gridSpan w:val="2"/>
            <w:tcBorders>
              <w:tl2br w:val="nil"/>
              <w:tr2bl w:val="nil"/>
            </w:tcBorders>
            <w:noWrap w:val="0"/>
            <w:vAlign w:val="center"/>
          </w:tcPr>
          <w:p w14:paraId="65BEE93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rPr>
            </w:pPr>
          </w:p>
        </w:tc>
      </w:tr>
      <w:tr w14:paraId="3B4E2EC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EA92FE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7345178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6FC4F0B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5.空调外表整洁，运行是否正常，有无异常及漏液情况，拆开空调进行除尘保养，定期清理过滤网，制冷剂缺少进行加氟等。</w:t>
            </w:r>
          </w:p>
        </w:tc>
        <w:tc>
          <w:tcPr>
            <w:tcW w:w="576" w:type="dxa"/>
            <w:tcBorders>
              <w:tl2br w:val="nil"/>
              <w:tr2bl w:val="nil"/>
            </w:tcBorders>
            <w:noWrap w:val="0"/>
            <w:vAlign w:val="center"/>
          </w:tcPr>
          <w:p w14:paraId="13D1C57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42F2A11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337747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297625E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63BAF1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4C2376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368461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6.地面是否干净整洁，有无杂物，工具摆放是否整齐，破损地面或瓷砖进行修复，油漆脱落进行补漆，地面安全标识重新绘制。</w:t>
            </w:r>
          </w:p>
        </w:tc>
        <w:tc>
          <w:tcPr>
            <w:tcW w:w="576" w:type="dxa"/>
            <w:tcBorders>
              <w:tl2br w:val="nil"/>
              <w:tr2bl w:val="nil"/>
            </w:tcBorders>
            <w:noWrap w:val="0"/>
            <w:vAlign w:val="center"/>
          </w:tcPr>
          <w:p w14:paraId="40DF327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31E5836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9AB1A3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64F7452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restart"/>
            <w:tcBorders>
              <w:tl2br w:val="nil"/>
              <w:tr2bl w:val="nil"/>
            </w:tcBorders>
            <w:noWrap w:val="0"/>
            <w:vAlign w:val="center"/>
          </w:tcPr>
          <w:p w14:paraId="64AF61B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p>
        </w:tc>
        <w:tc>
          <w:tcPr>
            <w:tcW w:w="823" w:type="dxa"/>
            <w:vMerge w:val="restart"/>
            <w:tcBorders>
              <w:tl2br w:val="nil"/>
              <w:tr2bl w:val="nil"/>
            </w:tcBorders>
            <w:noWrap w:val="0"/>
            <w:vAlign w:val="center"/>
          </w:tcPr>
          <w:p w14:paraId="2591F0D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监控值守</w:t>
            </w:r>
          </w:p>
        </w:tc>
        <w:tc>
          <w:tcPr>
            <w:tcW w:w="6272" w:type="dxa"/>
            <w:gridSpan w:val="2"/>
            <w:tcBorders>
              <w:tl2br w:val="nil"/>
              <w:tr2bl w:val="nil"/>
            </w:tcBorders>
            <w:noWrap w:val="0"/>
            <w:vAlign w:val="center"/>
          </w:tcPr>
          <w:p w14:paraId="3A77AE5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监控设施应24小时正常运行，合理安排值守时间，如有故障应及时排除，保证对安全出入口、内部重点区域的安全监控，并保持完整记录，监控资料按规定期限保留</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kern w:val="0"/>
                <w:sz w:val="24"/>
                <w:szCs w:val="24"/>
              </w:rPr>
              <w:t>　</w:t>
            </w:r>
          </w:p>
        </w:tc>
        <w:tc>
          <w:tcPr>
            <w:tcW w:w="576" w:type="dxa"/>
            <w:tcBorders>
              <w:tl2br w:val="nil"/>
              <w:tr2bl w:val="nil"/>
            </w:tcBorders>
            <w:noWrap w:val="0"/>
            <w:vAlign w:val="center"/>
          </w:tcPr>
          <w:p w14:paraId="679B01E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2902C192">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5115EE3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5D12CE8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0A0EE19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A9D0A4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427D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在夜晚采取补光等措施，确保视频图像清晰，确保安全出入口和内部重点部位的视频监控无死角、无盲区</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5F6B36D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34B4045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C64693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3F1C902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trPr>
        <w:tc>
          <w:tcPr>
            <w:tcW w:w="627" w:type="dxa"/>
            <w:vMerge w:val="continue"/>
            <w:tcBorders>
              <w:tl2br w:val="nil"/>
              <w:tr2bl w:val="nil"/>
            </w:tcBorders>
            <w:noWrap w:val="0"/>
            <w:vAlign w:val="center"/>
          </w:tcPr>
          <w:p w14:paraId="5977E1D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778F40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351CA0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监控中心收到险情、火情等报警信号及其他异常情况的信号后，应及时报警并安排其他安保人员携带处置装备及时赶到报警点进行现场处理</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6A5152B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520B166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B6EA0B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2F39706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4ED1683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152146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AB1B11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保持治安电话畅通，接听及时。</w:t>
            </w:r>
          </w:p>
        </w:tc>
        <w:tc>
          <w:tcPr>
            <w:tcW w:w="576" w:type="dxa"/>
            <w:tcBorders>
              <w:tl2br w:val="nil"/>
              <w:tr2bl w:val="nil"/>
            </w:tcBorders>
            <w:noWrap w:val="0"/>
            <w:vAlign w:val="center"/>
          </w:tcPr>
          <w:p w14:paraId="6AD0FF8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4391364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C9DACC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sz w:val="24"/>
                <w:szCs w:val="24"/>
                <w:highlight w:val="none"/>
                <w:lang w:val="en-US" w:eastAsia="zh-CN"/>
              </w:rPr>
            </w:pPr>
          </w:p>
        </w:tc>
      </w:tr>
      <w:tr w14:paraId="02CB0E4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627" w:type="dxa"/>
            <w:vMerge w:val="restart"/>
            <w:tcBorders>
              <w:tl2br w:val="nil"/>
              <w:tr2bl w:val="nil"/>
            </w:tcBorders>
            <w:noWrap w:val="0"/>
            <w:vAlign w:val="center"/>
          </w:tcPr>
          <w:p w14:paraId="7EFF3EB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八</w:t>
            </w:r>
          </w:p>
        </w:tc>
        <w:tc>
          <w:tcPr>
            <w:tcW w:w="823" w:type="dxa"/>
            <w:vMerge w:val="restart"/>
            <w:tcBorders>
              <w:tl2br w:val="nil"/>
              <w:tr2bl w:val="nil"/>
            </w:tcBorders>
            <w:noWrap w:val="0"/>
            <w:vAlign w:val="center"/>
          </w:tcPr>
          <w:p w14:paraId="675F2860">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kern w:val="0"/>
                <w:sz w:val="24"/>
                <w:szCs w:val="24"/>
              </w:rPr>
            </w:pPr>
            <w:r>
              <w:rPr>
                <w:rFonts w:hint="eastAsia" w:asciiTheme="minorEastAsia" w:hAnsiTheme="minorEastAsia" w:eastAsiaTheme="minorEastAsia" w:cstheme="minorEastAsia"/>
                <w:b w:val="0"/>
                <w:bCs w:val="0"/>
                <w:sz w:val="24"/>
                <w:szCs w:val="24"/>
                <w:highlight w:val="none"/>
              </w:rPr>
              <w:t>车辆停放</w:t>
            </w:r>
          </w:p>
        </w:tc>
        <w:tc>
          <w:tcPr>
            <w:tcW w:w="6272" w:type="dxa"/>
            <w:gridSpan w:val="2"/>
            <w:tcBorders>
              <w:tl2br w:val="nil"/>
              <w:tr2bl w:val="nil"/>
            </w:tcBorders>
            <w:noWrap w:val="0"/>
            <w:vAlign w:val="center"/>
          </w:tcPr>
          <w:p w14:paraId="7105B7C7">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院内设置行车指示、限速等标识和路口反光镜，规定行驶路线，指定停放区域，保证车辆有序通行、便于停放</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0F65D9F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6CA3065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7AE721D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sz w:val="24"/>
                <w:szCs w:val="24"/>
              </w:rPr>
            </w:pPr>
          </w:p>
        </w:tc>
      </w:tr>
      <w:tr w14:paraId="494650C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627" w:type="dxa"/>
            <w:vMerge w:val="continue"/>
            <w:tcBorders>
              <w:tl2br w:val="nil"/>
              <w:tr2bl w:val="nil"/>
            </w:tcBorders>
            <w:noWrap w:val="0"/>
            <w:vAlign w:val="center"/>
          </w:tcPr>
          <w:p w14:paraId="3E0A9CAD">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732F217A">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31F2543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车库专人管理，定时清洁，无易燃易爆等危险品存放，监控、照明、抽水、消防器械配置齐全、正常运行</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40AAE34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BC0C66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77EA6B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r>
      <w:tr w14:paraId="0161D1A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627" w:type="dxa"/>
            <w:vMerge w:val="continue"/>
            <w:tcBorders>
              <w:tl2br w:val="nil"/>
              <w:tr2bl w:val="nil"/>
            </w:tcBorders>
            <w:noWrap w:val="0"/>
            <w:vAlign w:val="center"/>
          </w:tcPr>
          <w:p w14:paraId="6BF92405">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E9331A1">
            <w:pPr>
              <w:keepNext w:val="0"/>
              <w:keepLines w:val="0"/>
              <w:pageBreakBefore w:val="0"/>
              <w:widowControl w:val="0"/>
              <w:kinsoku/>
              <w:wordWrap/>
              <w:overflowPunct/>
              <w:topLinePunct w:val="0"/>
              <w:autoSpaceDE/>
              <w:autoSpaceDN/>
              <w:bidi w:val="0"/>
              <w:adjustRightInd w:val="0"/>
              <w:snapToGrid w:val="0"/>
              <w:spacing w:line="520" w:lineRule="exact"/>
              <w:ind w:left="0" w:leftChars="0"/>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2E058F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非机动车定点有序停放。</w:t>
            </w:r>
          </w:p>
        </w:tc>
        <w:tc>
          <w:tcPr>
            <w:tcW w:w="576" w:type="dxa"/>
            <w:tcBorders>
              <w:tl2br w:val="nil"/>
              <w:tr2bl w:val="nil"/>
            </w:tcBorders>
            <w:noWrap w:val="0"/>
            <w:vAlign w:val="center"/>
          </w:tcPr>
          <w:p w14:paraId="451B079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013A16B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1459B4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p>
        </w:tc>
      </w:tr>
      <w:tr w14:paraId="3DF3C15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trPr>
        <w:tc>
          <w:tcPr>
            <w:tcW w:w="627" w:type="dxa"/>
            <w:vMerge w:val="restart"/>
            <w:tcBorders>
              <w:tl2br w:val="nil"/>
              <w:tr2bl w:val="nil"/>
            </w:tcBorders>
            <w:noWrap w:val="0"/>
            <w:vAlign w:val="center"/>
          </w:tcPr>
          <w:p w14:paraId="1C6EB87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九</w:t>
            </w:r>
          </w:p>
        </w:tc>
        <w:tc>
          <w:tcPr>
            <w:tcW w:w="823" w:type="dxa"/>
            <w:vMerge w:val="restart"/>
            <w:tcBorders>
              <w:tl2br w:val="nil"/>
              <w:tr2bl w:val="nil"/>
            </w:tcBorders>
            <w:noWrap w:val="0"/>
            <w:vAlign w:val="center"/>
          </w:tcPr>
          <w:p w14:paraId="7A468EB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cs="宋体" w:eastAsia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消防</w:t>
            </w:r>
            <w:r>
              <w:rPr>
                <w:rFonts w:hint="eastAsia" w:asciiTheme="minorEastAsia" w:hAnsiTheme="minorEastAsia" w:eastAsiaTheme="minorEastAsia" w:cstheme="minorEastAsia"/>
                <w:b w:val="0"/>
                <w:bCs w:val="0"/>
                <w:sz w:val="24"/>
                <w:szCs w:val="24"/>
                <w:highlight w:val="none"/>
                <w:lang w:val="en-US" w:eastAsia="zh-CN"/>
              </w:rPr>
              <w:t>值机</w:t>
            </w:r>
          </w:p>
        </w:tc>
        <w:tc>
          <w:tcPr>
            <w:tcW w:w="6272" w:type="dxa"/>
            <w:gridSpan w:val="2"/>
            <w:tcBorders>
              <w:tl2br w:val="nil"/>
              <w:tr2bl w:val="nil"/>
            </w:tcBorders>
            <w:noWrap w:val="0"/>
            <w:vAlign w:val="center"/>
          </w:tcPr>
          <w:p w14:paraId="0FED5B4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建立消防安全责任制</w:t>
            </w:r>
            <w:r>
              <w:rPr>
                <w:rFonts w:hint="eastAsia" w:asciiTheme="minorEastAsia" w:hAnsiTheme="minorEastAsia" w:eastAsiaTheme="minorEastAsia" w:cstheme="minorEastAsia"/>
                <w:b w:val="0"/>
                <w:bCs w:val="0"/>
                <w:sz w:val="24"/>
                <w:szCs w:val="24"/>
                <w:highlight w:val="none"/>
                <w:lang w:eastAsia="zh-CN"/>
              </w:rPr>
              <w:t>。</w:t>
            </w:r>
          </w:p>
        </w:tc>
        <w:tc>
          <w:tcPr>
            <w:tcW w:w="576" w:type="dxa"/>
            <w:tcBorders>
              <w:tl2br w:val="nil"/>
              <w:tr2bl w:val="nil"/>
            </w:tcBorders>
            <w:noWrap w:val="0"/>
            <w:vAlign w:val="center"/>
          </w:tcPr>
          <w:p w14:paraId="5461363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2</w:t>
            </w:r>
          </w:p>
        </w:tc>
        <w:tc>
          <w:tcPr>
            <w:tcW w:w="860" w:type="dxa"/>
            <w:vMerge w:val="restart"/>
            <w:tcBorders>
              <w:tl2br w:val="nil"/>
              <w:tr2bl w:val="nil"/>
            </w:tcBorders>
            <w:noWrap w:val="0"/>
            <w:vAlign w:val="center"/>
          </w:tcPr>
          <w:p w14:paraId="10FDCD6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042A071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r>
      <w:tr w14:paraId="3CC7EEE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627" w:type="dxa"/>
            <w:vMerge w:val="continue"/>
            <w:tcBorders>
              <w:tl2br w:val="nil"/>
              <w:tr2bl w:val="nil"/>
            </w:tcBorders>
            <w:noWrap w:val="0"/>
            <w:vAlign w:val="center"/>
          </w:tcPr>
          <w:p w14:paraId="5986689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FB8DB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EE44AE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宋体" w:hAnsi="宋体" w:eastAsia="宋体" w:cs="宋体"/>
                <w:spacing w:val="-1"/>
                <w:sz w:val="24"/>
                <w:szCs w:val="24"/>
              </w:rPr>
              <w:t>消控室人员实行24小时三班双岗</w:t>
            </w:r>
          </w:p>
        </w:tc>
        <w:tc>
          <w:tcPr>
            <w:tcW w:w="576" w:type="dxa"/>
            <w:tcBorders>
              <w:tl2br w:val="nil"/>
              <w:tr2bl w:val="nil"/>
            </w:tcBorders>
            <w:noWrap w:val="0"/>
            <w:vAlign w:val="center"/>
          </w:tcPr>
          <w:p w14:paraId="6926F26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773B00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F12530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r>
      <w:tr w14:paraId="5E0B7CE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1" w:hRule="atLeast"/>
        </w:trPr>
        <w:tc>
          <w:tcPr>
            <w:tcW w:w="627" w:type="dxa"/>
            <w:vMerge w:val="continue"/>
            <w:tcBorders>
              <w:tl2br w:val="nil"/>
              <w:tr2bl w:val="nil"/>
            </w:tcBorders>
            <w:noWrap w:val="0"/>
            <w:vAlign w:val="center"/>
          </w:tcPr>
          <w:p w14:paraId="6F229A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val="0"/>
                <w:bCs w:val="0"/>
                <w:kern w:val="2"/>
                <w:sz w:val="24"/>
                <w:szCs w:val="24"/>
                <w:highlight w:val="none"/>
                <w:lang w:val="en-US" w:eastAsia="zh-CN" w:bidi="ar-SA"/>
              </w:rPr>
            </w:pPr>
          </w:p>
        </w:tc>
        <w:tc>
          <w:tcPr>
            <w:tcW w:w="823" w:type="dxa"/>
            <w:vMerge w:val="continue"/>
            <w:tcBorders>
              <w:tl2br w:val="nil"/>
              <w:tr2bl w:val="nil"/>
            </w:tcBorders>
            <w:noWrap w:val="0"/>
            <w:vAlign w:val="center"/>
          </w:tcPr>
          <w:p w14:paraId="074D88D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宋体" w:hAnsi="宋体" w:eastAsia="宋体" w:cs="宋体"/>
                <w:kern w:val="0"/>
                <w:sz w:val="24"/>
                <w:szCs w:val="24"/>
                <w:lang w:val="en-US" w:eastAsia="zh-CN"/>
              </w:rPr>
            </w:pPr>
          </w:p>
        </w:tc>
        <w:tc>
          <w:tcPr>
            <w:tcW w:w="6272" w:type="dxa"/>
            <w:gridSpan w:val="2"/>
            <w:tcBorders>
              <w:tl2br w:val="nil"/>
              <w:tr2bl w:val="nil"/>
            </w:tcBorders>
            <w:noWrap w:val="0"/>
            <w:vAlign w:val="center"/>
          </w:tcPr>
          <w:p w14:paraId="4AA7A24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宋体" w:hAnsi="宋体" w:eastAsia="宋体" w:cs="宋体"/>
                <w:spacing w:val="-1"/>
                <w:sz w:val="24"/>
                <w:szCs w:val="24"/>
              </w:rPr>
              <w:t>定期对设备进行巡检，检查设备是否正常运行，有无故障或异常情况。</w:t>
            </w:r>
          </w:p>
        </w:tc>
        <w:tc>
          <w:tcPr>
            <w:tcW w:w="576" w:type="dxa"/>
            <w:tcBorders>
              <w:tl2br w:val="nil"/>
              <w:tr2bl w:val="nil"/>
            </w:tcBorders>
            <w:noWrap w:val="0"/>
            <w:vAlign w:val="center"/>
          </w:tcPr>
          <w:p w14:paraId="2955A42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4BB6ECD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sz w:val="24"/>
                <w:szCs w:val="24"/>
                <w:lang w:val="en-US" w:eastAsia="zh-CN"/>
              </w:rPr>
            </w:pPr>
          </w:p>
        </w:tc>
        <w:tc>
          <w:tcPr>
            <w:tcW w:w="584" w:type="dxa"/>
            <w:gridSpan w:val="2"/>
            <w:tcBorders>
              <w:tl2br w:val="nil"/>
              <w:tr2bl w:val="nil"/>
            </w:tcBorders>
            <w:noWrap w:val="0"/>
            <w:vAlign w:val="center"/>
          </w:tcPr>
          <w:p w14:paraId="489326C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sz w:val="24"/>
                <w:szCs w:val="24"/>
                <w:lang w:val="en-US" w:eastAsia="zh-CN"/>
              </w:rPr>
            </w:pPr>
          </w:p>
        </w:tc>
      </w:tr>
      <w:tr w14:paraId="0D50795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5" w:hRule="atLeast"/>
        </w:trPr>
        <w:tc>
          <w:tcPr>
            <w:tcW w:w="627" w:type="dxa"/>
            <w:vMerge w:val="continue"/>
            <w:tcBorders>
              <w:tl2br w:val="nil"/>
              <w:tr2bl w:val="nil"/>
            </w:tcBorders>
            <w:noWrap w:val="0"/>
            <w:vAlign w:val="center"/>
          </w:tcPr>
          <w:p w14:paraId="1B499F1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205FCA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22991C9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宋体" w:hAnsi="宋体" w:eastAsia="宋体" w:cs="宋体"/>
                <w:spacing w:val="-1"/>
                <w:sz w:val="24"/>
                <w:szCs w:val="24"/>
              </w:rPr>
              <w:t>发现问题及时处理，并记录在值班日志中。</w:t>
            </w:r>
          </w:p>
        </w:tc>
        <w:tc>
          <w:tcPr>
            <w:tcW w:w="576" w:type="dxa"/>
            <w:tcBorders>
              <w:tl2br w:val="nil"/>
              <w:tr2bl w:val="nil"/>
            </w:tcBorders>
            <w:noWrap w:val="0"/>
            <w:vAlign w:val="center"/>
          </w:tcPr>
          <w:p w14:paraId="3AE6A54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860" w:type="dxa"/>
            <w:vMerge w:val="continue"/>
            <w:tcBorders>
              <w:tl2br w:val="nil"/>
              <w:tr2bl w:val="nil"/>
            </w:tcBorders>
            <w:noWrap w:val="0"/>
            <w:vAlign w:val="center"/>
          </w:tcPr>
          <w:p w14:paraId="65B5613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E527F4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val="0"/>
                <w:bCs w:val="0"/>
                <w:sz w:val="24"/>
                <w:szCs w:val="24"/>
                <w:highlight w:val="none"/>
                <w:lang w:val="en-US" w:eastAsia="zh-CN"/>
              </w:rPr>
            </w:pPr>
          </w:p>
        </w:tc>
      </w:tr>
      <w:tr w14:paraId="6208218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trPr>
        <w:tc>
          <w:tcPr>
            <w:tcW w:w="627" w:type="dxa"/>
            <w:tcBorders>
              <w:tl2br w:val="nil"/>
              <w:tr2bl w:val="nil"/>
            </w:tcBorders>
            <w:noWrap w:val="0"/>
            <w:vAlign w:val="center"/>
          </w:tcPr>
          <w:p w14:paraId="2E55F95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cstheme="minorEastAsia"/>
                <w:b w:val="0"/>
                <w:bCs w:val="0"/>
                <w:i w:val="0"/>
                <w:iCs w:val="0"/>
                <w:color w:val="000000"/>
                <w:kern w:val="0"/>
                <w:sz w:val="24"/>
                <w:szCs w:val="24"/>
                <w:u w:val="none"/>
                <w:lang w:val="en-US" w:eastAsia="zh-CN" w:bidi="ar"/>
              </w:rPr>
              <w:t>十</w:t>
            </w:r>
          </w:p>
        </w:tc>
        <w:tc>
          <w:tcPr>
            <w:tcW w:w="823" w:type="dxa"/>
            <w:tcBorders>
              <w:tl2br w:val="nil"/>
              <w:tr2bl w:val="nil"/>
            </w:tcBorders>
            <w:noWrap w:val="0"/>
            <w:vAlign w:val="center"/>
          </w:tcPr>
          <w:p w14:paraId="689D0E37">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避雷检测工作</w:t>
            </w:r>
          </w:p>
        </w:tc>
        <w:tc>
          <w:tcPr>
            <w:tcW w:w="6272" w:type="dxa"/>
            <w:gridSpan w:val="2"/>
            <w:tcBorders>
              <w:tl2br w:val="nil"/>
              <w:tr2bl w:val="nil"/>
            </w:tcBorders>
            <w:noWrap w:val="0"/>
            <w:vAlign w:val="center"/>
          </w:tcPr>
          <w:p w14:paraId="7E4AF68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定期检测消防防雷接地装置、避雷针及引下线的连接、防静电设施，有检测报告。</w:t>
            </w:r>
          </w:p>
        </w:tc>
        <w:tc>
          <w:tcPr>
            <w:tcW w:w="576" w:type="dxa"/>
            <w:tcBorders>
              <w:tl2br w:val="nil"/>
              <w:tr2bl w:val="nil"/>
            </w:tcBorders>
            <w:noWrap w:val="0"/>
            <w:vAlign w:val="center"/>
          </w:tcPr>
          <w:p w14:paraId="4FBFB15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5722185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0FC7A96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333F259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627" w:type="dxa"/>
            <w:vMerge w:val="restart"/>
            <w:tcBorders>
              <w:tl2br w:val="nil"/>
              <w:tr2bl w:val="nil"/>
            </w:tcBorders>
            <w:noWrap w:val="0"/>
            <w:vAlign w:val="center"/>
          </w:tcPr>
          <w:p w14:paraId="4C7FFD9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sz w:val="24"/>
                <w:szCs w:val="24"/>
                <w:lang w:val="en-US"/>
              </w:rPr>
            </w:pPr>
            <w:r>
              <w:rPr>
                <w:rFonts w:hint="eastAsia" w:asciiTheme="minorEastAsia" w:hAnsiTheme="minorEastAsia" w:cstheme="minorEastAsia"/>
                <w:b w:val="0"/>
                <w:bCs w:val="0"/>
                <w:i w:val="0"/>
                <w:iCs w:val="0"/>
                <w:color w:val="000000"/>
                <w:kern w:val="0"/>
                <w:sz w:val="24"/>
                <w:szCs w:val="24"/>
                <w:u w:val="none"/>
                <w:lang w:val="en-US" w:eastAsia="zh-CN" w:bidi="ar"/>
              </w:rPr>
              <w:t>十一</w:t>
            </w:r>
          </w:p>
        </w:tc>
        <w:tc>
          <w:tcPr>
            <w:tcW w:w="823" w:type="dxa"/>
            <w:vMerge w:val="restart"/>
            <w:tcBorders>
              <w:tl2br w:val="nil"/>
              <w:tr2bl w:val="nil"/>
            </w:tcBorders>
            <w:noWrap w:val="0"/>
            <w:vAlign w:val="center"/>
          </w:tcPr>
          <w:p w14:paraId="10B47FD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防护措施</w:t>
            </w:r>
          </w:p>
        </w:tc>
        <w:tc>
          <w:tcPr>
            <w:tcW w:w="6272" w:type="dxa"/>
            <w:gridSpan w:val="2"/>
            <w:tcBorders>
              <w:tl2br w:val="nil"/>
              <w:tr2bl w:val="nil"/>
            </w:tcBorders>
            <w:noWrap w:val="0"/>
            <w:vAlign w:val="center"/>
          </w:tcPr>
          <w:p w14:paraId="1E8950A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1.高压验电器、兆欧表等用电工具是否有效，工具是否摆放整齐等，用电工具进行相关保养以及试验确保工具正常，是否在有效期内，及时送检。</w:t>
            </w:r>
          </w:p>
        </w:tc>
        <w:tc>
          <w:tcPr>
            <w:tcW w:w="576" w:type="dxa"/>
            <w:tcBorders>
              <w:tl2br w:val="nil"/>
              <w:tr2bl w:val="nil"/>
            </w:tcBorders>
            <w:noWrap w:val="0"/>
            <w:vAlign w:val="center"/>
          </w:tcPr>
          <w:p w14:paraId="0AD414B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3D6C2A1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4CB6A5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184B25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trPr>
        <w:tc>
          <w:tcPr>
            <w:tcW w:w="627" w:type="dxa"/>
            <w:vMerge w:val="continue"/>
            <w:tcBorders>
              <w:tl2br w:val="nil"/>
              <w:tr2bl w:val="nil"/>
            </w:tcBorders>
            <w:noWrap w:val="0"/>
            <w:vAlign w:val="center"/>
          </w:tcPr>
          <w:p w14:paraId="05E6AC0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bidi="ar-SA"/>
              </w:rPr>
            </w:pPr>
          </w:p>
        </w:tc>
        <w:tc>
          <w:tcPr>
            <w:tcW w:w="823" w:type="dxa"/>
            <w:vMerge w:val="continue"/>
            <w:tcBorders>
              <w:tl2br w:val="nil"/>
              <w:tr2bl w:val="nil"/>
            </w:tcBorders>
            <w:noWrap w:val="0"/>
            <w:vAlign w:val="center"/>
          </w:tcPr>
          <w:p w14:paraId="5D4E003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p>
        </w:tc>
        <w:tc>
          <w:tcPr>
            <w:tcW w:w="6272" w:type="dxa"/>
            <w:gridSpan w:val="2"/>
            <w:tcBorders>
              <w:tl2br w:val="nil"/>
              <w:tr2bl w:val="nil"/>
            </w:tcBorders>
            <w:noWrap w:val="0"/>
            <w:vAlign w:val="center"/>
          </w:tcPr>
          <w:p w14:paraId="74ECAE0C">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2.绝缘手套及绝缘鞋等绝缘手套等防护措施是否有效，摆放整齐等，防护措施进行相关保养确保外界环境干燥，是否在有效期内，及时送检。</w:t>
            </w:r>
          </w:p>
        </w:tc>
        <w:tc>
          <w:tcPr>
            <w:tcW w:w="576" w:type="dxa"/>
            <w:tcBorders>
              <w:tl2br w:val="nil"/>
              <w:tr2bl w:val="nil"/>
            </w:tcBorders>
            <w:noWrap w:val="0"/>
            <w:vAlign w:val="center"/>
          </w:tcPr>
          <w:p w14:paraId="620E927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17B032F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c>
          <w:tcPr>
            <w:tcW w:w="584" w:type="dxa"/>
            <w:gridSpan w:val="2"/>
            <w:tcBorders>
              <w:tl2br w:val="nil"/>
              <w:tr2bl w:val="nil"/>
            </w:tcBorders>
            <w:noWrap w:val="0"/>
            <w:vAlign w:val="center"/>
          </w:tcPr>
          <w:p w14:paraId="149E7D0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25A710B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restart"/>
            <w:tcBorders>
              <w:tl2br w:val="nil"/>
              <w:tr2bl w:val="nil"/>
            </w:tcBorders>
            <w:noWrap w:val="0"/>
            <w:vAlign w:val="center"/>
          </w:tcPr>
          <w:p w14:paraId="78349E4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cstheme="minorEastAsia"/>
                <w:b w:val="0"/>
                <w:bCs w:val="0"/>
                <w:i w:val="0"/>
                <w:iCs w:val="0"/>
                <w:color w:val="000000"/>
                <w:kern w:val="0"/>
                <w:sz w:val="24"/>
                <w:szCs w:val="24"/>
                <w:u w:val="none"/>
                <w:lang w:val="en-US" w:eastAsia="zh-CN" w:bidi="ar"/>
              </w:rPr>
              <w:t>十二</w:t>
            </w:r>
          </w:p>
        </w:tc>
        <w:tc>
          <w:tcPr>
            <w:tcW w:w="823" w:type="dxa"/>
            <w:vMerge w:val="restart"/>
            <w:tcBorders>
              <w:tl2br w:val="nil"/>
              <w:tr2bl w:val="nil"/>
            </w:tcBorders>
            <w:noWrap w:val="0"/>
            <w:vAlign w:val="center"/>
          </w:tcPr>
          <w:p w14:paraId="7DB65D20">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kern w:val="0"/>
                <w:sz w:val="24"/>
                <w:szCs w:val="24"/>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发电机房</w:t>
            </w:r>
          </w:p>
        </w:tc>
        <w:tc>
          <w:tcPr>
            <w:tcW w:w="6272" w:type="dxa"/>
            <w:gridSpan w:val="2"/>
            <w:tcBorders>
              <w:tl2br w:val="nil"/>
              <w:tr2bl w:val="nil"/>
            </w:tcBorders>
            <w:noWrap w:val="0"/>
            <w:vAlign w:val="center"/>
          </w:tcPr>
          <w:p w14:paraId="0A0E7B2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1.发电机表面干净无灰尘，定期手转动发电盘，后启动发电机运行一段时间。</w:t>
            </w:r>
          </w:p>
        </w:tc>
        <w:tc>
          <w:tcPr>
            <w:tcW w:w="576" w:type="dxa"/>
            <w:tcBorders>
              <w:tl2br w:val="nil"/>
              <w:tr2bl w:val="nil"/>
            </w:tcBorders>
            <w:noWrap w:val="0"/>
            <w:vAlign w:val="center"/>
          </w:tcPr>
          <w:p w14:paraId="4A18EB8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restart"/>
            <w:tcBorders>
              <w:tl2br w:val="nil"/>
              <w:tr2bl w:val="nil"/>
            </w:tcBorders>
            <w:noWrap w:val="0"/>
            <w:vAlign w:val="center"/>
          </w:tcPr>
          <w:p w14:paraId="5088133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r>
              <w:rPr>
                <w:rFonts w:hint="default" w:asciiTheme="minorEastAsia" w:hAnsiTheme="minorEastAsia" w:eastAsiaTheme="minorEastAsia" w:cstheme="minorEastAsia"/>
                <w:b w:val="0"/>
                <w:bCs w:val="0"/>
                <w:sz w:val="24"/>
                <w:szCs w:val="24"/>
                <w:highlight w:val="none"/>
                <w:lang w:val="en-US" w:eastAsia="zh-CN"/>
              </w:rPr>
              <w:t>未按规定执行，</w:t>
            </w:r>
            <w:r>
              <w:rPr>
                <w:rFonts w:hint="eastAsia" w:asciiTheme="minorEastAsia" w:hAnsiTheme="minorEastAsia" w:cstheme="minorEastAsia"/>
                <w:b w:val="0"/>
                <w:bCs w:val="0"/>
                <w:sz w:val="24"/>
                <w:szCs w:val="24"/>
                <w:highlight w:val="none"/>
                <w:lang w:val="en-US" w:eastAsia="zh-CN"/>
              </w:rPr>
              <w:t>每</w:t>
            </w:r>
            <w:r>
              <w:rPr>
                <w:rFonts w:hint="default" w:asciiTheme="minorEastAsia" w:hAnsiTheme="minorEastAsia" w:eastAsiaTheme="minorEastAsia" w:cstheme="minorEastAsia"/>
                <w:b w:val="0"/>
                <w:bCs w:val="0"/>
                <w:sz w:val="24"/>
                <w:szCs w:val="24"/>
                <w:highlight w:val="none"/>
                <w:lang w:val="en-US" w:eastAsia="zh-CN"/>
              </w:rPr>
              <w:t>发现一次扣</w:t>
            </w:r>
            <w:r>
              <w:rPr>
                <w:rFonts w:hint="eastAsia" w:asciiTheme="minorEastAsia" w:hAnsiTheme="minorEastAsia" w:cstheme="minorEastAsia"/>
                <w:b w:val="0"/>
                <w:bCs w:val="0"/>
                <w:sz w:val="24"/>
                <w:szCs w:val="24"/>
                <w:highlight w:val="none"/>
                <w:lang w:val="en-US" w:eastAsia="zh-CN"/>
              </w:rPr>
              <w:t>0.5</w:t>
            </w:r>
            <w:r>
              <w:rPr>
                <w:rFonts w:hint="default" w:asciiTheme="minorEastAsia" w:hAnsiTheme="minorEastAsia" w:eastAsiaTheme="minorEastAsia" w:cstheme="minorEastAsia"/>
                <w:b w:val="0"/>
                <w:bCs w:val="0"/>
                <w:sz w:val="24"/>
                <w:szCs w:val="24"/>
                <w:highlight w:val="none"/>
                <w:lang w:val="en-US" w:eastAsia="zh-CN"/>
              </w:rPr>
              <w:t>分</w:t>
            </w:r>
            <w:r>
              <w:rPr>
                <w:rFonts w:hint="eastAsia" w:asciiTheme="minorEastAsia" w:hAnsiTheme="minorEastAsia" w:cstheme="minorEastAsia"/>
                <w:b w:val="0"/>
                <w:bCs w:val="0"/>
                <w:sz w:val="24"/>
                <w:szCs w:val="24"/>
                <w:highlight w:val="none"/>
                <w:lang w:val="en-US" w:eastAsia="zh-CN"/>
              </w:rPr>
              <w:t>。</w:t>
            </w:r>
          </w:p>
        </w:tc>
        <w:tc>
          <w:tcPr>
            <w:tcW w:w="584" w:type="dxa"/>
            <w:gridSpan w:val="2"/>
            <w:tcBorders>
              <w:tl2br w:val="nil"/>
              <w:tr2bl w:val="nil"/>
            </w:tcBorders>
            <w:noWrap w:val="0"/>
            <w:vAlign w:val="center"/>
          </w:tcPr>
          <w:p w14:paraId="27EB5D4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4C609D9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2FF0F470">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sz w:val="24"/>
                <w:szCs w:val="24"/>
              </w:rPr>
            </w:pPr>
          </w:p>
        </w:tc>
        <w:tc>
          <w:tcPr>
            <w:tcW w:w="823" w:type="dxa"/>
            <w:vMerge w:val="continue"/>
            <w:tcBorders>
              <w:tl2br w:val="nil"/>
              <w:tr2bl w:val="nil"/>
            </w:tcBorders>
            <w:noWrap w:val="0"/>
            <w:vAlign w:val="center"/>
          </w:tcPr>
          <w:p w14:paraId="4A61E92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rPr>
            </w:pPr>
          </w:p>
        </w:tc>
        <w:tc>
          <w:tcPr>
            <w:tcW w:w="6272" w:type="dxa"/>
            <w:gridSpan w:val="2"/>
            <w:tcBorders>
              <w:tl2br w:val="nil"/>
              <w:tr2bl w:val="nil"/>
            </w:tcBorders>
            <w:noWrap w:val="0"/>
            <w:vAlign w:val="center"/>
          </w:tcPr>
          <w:p w14:paraId="2ED3707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2.检查机油箱油位、颜色是否正常，检查设备有无漏液，机油箱内机油是否变色或减少等，并及时添加更换。</w:t>
            </w:r>
          </w:p>
        </w:tc>
        <w:tc>
          <w:tcPr>
            <w:tcW w:w="576" w:type="dxa"/>
            <w:tcBorders>
              <w:tl2br w:val="nil"/>
              <w:tr2bl w:val="nil"/>
            </w:tcBorders>
            <w:noWrap w:val="0"/>
            <w:vAlign w:val="center"/>
          </w:tcPr>
          <w:p w14:paraId="359AB57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6717DCF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4ED8D0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49DBFE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523D5C22">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207693D">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AF1ADE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3.检查燃油箱油位、颜色是否正常，确保燃油箱油位、颜色正常。</w:t>
            </w:r>
          </w:p>
        </w:tc>
        <w:tc>
          <w:tcPr>
            <w:tcW w:w="576" w:type="dxa"/>
            <w:tcBorders>
              <w:tl2br w:val="nil"/>
              <w:tr2bl w:val="nil"/>
            </w:tcBorders>
            <w:noWrap w:val="0"/>
            <w:vAlign w:val="center"/>
          </w:tcPr>
          <w:p w14:paraId="41FF0679">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446AD5A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29D047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5BC3718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3CDE0898">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6C786F6">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F9C102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4.机房灯具开关自如、外表干净，清除灯具积尘，维修或更换故障灯具。</w:t>
            </w:r>
          </w:p>
        </w:tc>
        <w:tc>
          <w:tcPr>
            <w:tcW w:w="576" w:type="dxa"/>
            <w:tcBorders>
              <w:tl2br w:val="nil"/>
              <w:tr2bl w:val="nil"/>
            </w:tcBorders>
            <w:noWrap w:val="0"/>
            <w:vAlign w:val="center"/>
          </w:tcPr>
          <w:p w14:paraId="1BBC6E8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0E84EB3B">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B7FD95F">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10139C3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6D9ACEAA">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1032621">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DB51C0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5.地面干净整洁、无杂物，破损地面或瓷砖进行修复，油漆脱落进行补漆，地面安全标识重新绘制。</w:t>
            </w:r>
          </w:p>
        </w:tc>
        <w:tc>
          <w:tcPr>
            <w:tcW w:w="576" w:type="dxa"/>
            <w:tcBorders>
              <w:tl2br w:val="nil"/>
              <w:tr2bl w:val="nil"/>
            </w:tcBorders>
            <w:noWrap w:val="0"/>
            <w:vAlign w:val="center"/>
          </w:tcPr>
          <w:p w14:paraId="7A2BD4C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b w:val="0"/>
                <w:bCs w:val="0"/>
                <w:sz w:val="24"/>
                <w:szCs w:val="24"/>
                <w:highlight w:val="none"/>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631CF068">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BEDB5D2">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b w:val="0"/>
                <w:bCs w:val="0"/>
                <w:sz w:val="24"/>
                <w:szCs w:val="24"/>
                <w:highlight w:val="none"/>
                <w:lang w:val="en-US" w:eastAsia="zh-CN"/>
              </w:rPr>
            </w:pPr>
          </w:p>
        </w:tc>
      </w:tr>
      <w:tr w14:paraId="0B69CB5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trPr>
        <w:tc>
          <w:tcPr>
            <w:tcW w:w="627" w:type="dxa"/>
            <w:vMerge w:val="continue"/>
            <w:tcBorders>
              <w:tl2br w:val="nil"/>
              <w:tr2bl w:val="nil"/>
            </w:tcBorders>
            <w:noWrap w:val="0"/>
            <w:vAlign w:val="center"/>
          </w:tcPr>
          <w:p w14:paraId="4671208D">
            <w:pPr>
              <w:keepNext w:val="0"/>
              <w:keepLines w:val="0"/>
              <w:pageBreakBefore w:val="0"/>
              <w:widowControl w:val="0"/>
              <w:kinsoku/>
              <w:wordWrap/>
              <w:overflowPunct/>
              <w:topLinePunct w:val="0"/>
              <w:autoSpaceDE/>
              <w:autoSpaceDN/>
              <w:bidi w:val="0"/>
              <w:adjustRightInd w:val="0"/>
              <w:snapToGrid w:val="0"/>
              <w:spacing w:line="520" w:lineRule="exact"/>
              <w:jc w:val="center"/>
              <w:rPr>
                <w:rFonts w:hint="eastAsia" w:ascii="宋体" w:hAnsi="宋体" w:eastAsia="宋体" w:cs="宋体"/>
                <w:b w:val="0"/>
                <w:bCs w:val="0"/>
                <w:kern w:val="2"/>
                <w:sz w:val="24"/>
                <w:szCs w:val="24"/>
                <w:highlight w:val="none"/>
                <w:lang w:val="en-US" w:eastAsia="zh-CN" w:bidi="ar-SA"/>
              </w:rPr>
            </w:pPr>
          </w:p>
        </w:tc>
        <w:tc>
          <w:tcPr>
            <w:tcW w:w="823" w:type="dxa"/>
            <w:vMerge w:val="continue"/>
            <w:tcBorders>
              <w:tl2br w:val="nil"/>
              <w:tr2bl w:val="nil"/>
            </w:tcBorders>
            <w:noWrap w:val="0"/>
            <w:vAlign w:val="center"/>
          </w:tcPr>
          <w:p w14:paraId="4ABA4703">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default" w:ascii="宋体" w:hAnsi="宋体" w:eastAsia="宋体" w:cs="宋体"/>
                <w:kern w:val="0"/>
                <w:sz w:val="24"/>
                <w:szCs w:val="24"/>
                <w:lang w:val="en-US" w:eastAsia="zh-CN"/>
              </w:rPr>
            </w:pPr>
          </w:p>
        </w:tc>
        <w:tc>
          <w:tcPr>
            <w:tcW w:w="6272" w:type="dxa"/>
            <w:gridSpan w:val="2"/>
            <w:tcBorders>
              <w:tl2br w:val="nil"/>
              <w:tr2bl w:val="nil"/>
            </w:tcBorders>
            <w:noWrap w:val="0"/>
            <w:vAlign w:val="center"/>
          </w:tcPr>
          <w:p w14:paraId="53BF8704">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kern w:val="0"/>
                <w:sz w:val="24"/>
                <w:szCs w:val="24"/>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6.发电机并网柜配电安全防护措施齐全有效，除尘保养，紧固内部主线路，确保螺丝无松动，清理内部灰尘，检查有无放电，拉弧现象及时更换，各仪表电子信号指示正常，损坏故障仪表进行更换。</w:t>
            </w:r>
          </w:p>
        </w:tc>
        <w:tc>
          <w:tcPr>
            <w:tcW w:w="576" w:type="dxa"/>
            <w:tcBorders>
              <w:tl2br w:val="nil"/>
              <w:tr2bl w:val="nil"/>
            </w:tcBorders>
            <w:noWrap w:val="0"/>
            <w:vAlign w:val="center"/>
          </w:tcPr>
          <w:p w14:paraId="38685F9E">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center"/>
              <w:rPr>
                <w:rFonts w:hint="eastAsia" w:ascii="宋体" w:hAnsi="宋体" w:eastAsia="宋体" w:cs="宋体"/>
                <w:sz w:val="24"/>
                <w:szCs w:val="24"/>
                <w:lang w:val="en-US" w:eastAsia="zh-CN"/>
              </w:rPr>
            </w:pPr>
            <w:r>
              <w:rPr>
                <w:rFonts w:hint="eastAsia" w:asciiTheme="minorEastAsia" w:hAnsiTheme="minorEastAsia" w:cstheme="minorEastAsia"/>
                <w:b w:val="0"/>
                <w:bCs w:val="0"/>
                <w:i w:val="0"/>
                <w:iCs w:val="0"/>
                <w:color w:val="000000"/>
                <w:sz w:val="24"/>
                <w:szCs w:val="24"/>
                <w:u w:val="none"/>
                <w:lang w:val="en-US" w:eastAsia="zh-CN"/>
              </w:rPr>
              <w:t>2</w:t>
            </w:r>
          </w:p>
        </w:tc>
        <w:tc>
          <w:tcPr>
            <w:tcW w:w="860" w:type="dxa"/>
            <w:vMerge w:val="continue"/>
            <w:tcBorders>
              <w:tl2br w:val="nil"/>
              <w:tr2bl w:val="nil"/>
            </w:tcBorders>
            <w:noWrap w:val="0"/>
            <w:vAlign w:val="center"/>
          </w:tcPr>
          <w:p w14:paraId="4E0CC425">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c>
          <w:tcPr>
            <w:tcW w:w="584" w:type="dxa"/>
            <w:gridSpan w:val="2"/>
            <w:tcBorders>
              <w:tl2br w:val="nil"/>
              <w:tr2bl w:val="nil"/>
            </w:tcBorders>
            <w:noWrap w:val="0"/>
            <w:vAlign w:val="center"/>
          </w:tcPr>
          <w:p w14:paraId="2A25A99A">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left"/>
              <w:textAlignment w:val="center"/>
              <w:rPr>
                <w:rFonts w:hint="eastAsia" w:ascii="宋体" w:hAnsi="宋体" w:eastAsia="宋体" w:cs="宋体"/>
                <w:sz w:val="24"/>
                <w:szCs w:val="24"/>
                <w:lang w:val="en-US" w:eastAsia="zh-CN"/>
              </w:rPr>
            </w:pPr>
          </w:p>
        </w:tc>
      </w:tr>
      <w:tr w14:paraId="4C7861C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trPr>
        <w:tc>
          <w:tcPr>
            <w:tcW w:w="7722" w:type="dxa"/>
            <w:gridSpan w:val="4"/>
            <w:tcBorders>
              <w:tl2br w:val="nil"/>
              <w:tr2bl w:val="nil"/>
            </w:tcBorders>
            <w:noWrap w:val="0"/>
            <w:vAlign w:val="center"/>
          </w:tcPr>
          <w:p w14:paraId="7E32D76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   计</w:t>
            </w:r>
          </w:p>
        </w:tc>
        <w:tc>
          <w:tcPr>
            <w:tcW w:w="576" w:type="dxa"/>
            <w:tcBorders>
              <w:tl2br w:val="nil"/>
              <w:tr2bl w:val="nil"/>
            </w:tcBorders>
            <w:noWrap w:val="0"/>
            <w:vAlign w:val="center"/>
          </w:tcPr>
          <w:p w14:paraId="1625FE3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1444" w:type="dxa"/>
            <w:gridSpan w:val="3"/>
            <w:tcBorders>
              <w:tl2br w:val="nil"/>
              <w:tr2bl w:val="nil"/>
            </w:tcBorders>
            <w:noWrap w:val="0"/>
            <w:vAlign w:val="center"/>
          </w:tcPr>
          <w:p w14:paraId="0CBD20B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0249BB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1248" w:hRule="atLeast"/>
        </w:trPr>
        <w:tc>
          <w:tcPr>
            <w:tcW w:w="9732" w:type="dxa"/>
            <w:gridSpan w:val="7"/>
            <w:tcBorders>
              <w:top w:val="single" w:color="auto" w:sz="8" w:space="0"/>
              <w:left w:val="single" w:color="auto" w:sz="8" w:space="0"/>
              <w:bottom w:val="single" w:color="auto" w:sz="8" w:space="0"/>
              <w:right w:val="single" w:color="auto" w:sz="8" w:space="0"/>
            </w:tcBorders>
            <w:noWrap w:val="0"/>
            <w:vAlign w:val="top"/>
          </w:tcPr>
          <w:p w14:paraId="5488CB8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确保现场工作人员严格遵守</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的相关纪律和制度，严禁无故脱岗，对日常服务等进行满意度测评打分，并建立台账。每</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rPr>
              <w:t>为一个考核周期，</w:t>
            </w:r>
            <w:r>
              <w:rPr>
                <w:rFonts w:hint="eastAsia" w:ascii="宋体" w:hAnsi="宋体" w:eastAsia="宋体" w:cs="宋体"/>
                <w:b w:val="0"/>
                <w:bCs w:val="0"/>
                <w:sz w:val="24"/>
                <w:szCs w:val="24"/>
                <w:highlight w:val="none"/>
                <w:lang w:val="en-US" w:eastAsia="zh-CN"/>
              </w:rPr>
              <w:t>按</w:t>
            </w:r>
            <w:r>
              <w:rPr>
                <w:rFonts w:hint="eastAsia" w:ascii="宋体" w:hAnsi="宋体" w:cs="宋体"/>
                <w:b w:val="0"/>
                <w:bCs w:val="0"/>
                <w:sz w:val="24"/>
                <w:szCs w:val="24"/>
                <w:highlight w:val="none"/>
                <w:lang w:val="en-US" w:eastAsia="zh-CN"/>
              </w:rPr>
              <w:t>月</w:t>
            </w:r>
            <w:r>
              <w:rPr>
                <w:rFonts w:hint="eastAsia" w:ascii="宋体" w:hAnsi="宋体" w:eastAsia="宋体" w:cs="宋体"/>
                <w:b w:val="0"/>
                <w:bCs w:val="0"/>
                <w:sz w:val="24"/>
                <w:szCs w:val="24"/>
                <w:highlight w:val="none"/>
              </w:rPr>
              <w:t>结算。考核得分在90-100分为优，全额支付</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服务费；考核得分在80-89分为良好，扣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应付服务费的5%；考核得分在70-80分为一般，扣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应付服务费的10%；考核得分在70分以下为差，</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将要求</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对相关工作进行限期整改，整改后经随机抽查达到良好情形的，扣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应付服务费的15%；经过限期整改仍达不到良好情形的或拒不整改的，</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有权终止合同，</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相关损失由</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承担。</w:t>
            </w:r>
          </w:p>
        </w:tc>
      </w:tr>
      <w:tr w14:paraId="7BB499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3311" w:hRule="atLeast"/>
        </w:trPr>
        <w:tc>
          <w:tcPr>
            <w:tcW w:w="3257" w:type="dxa"/>
            <w:gridSpan w:val="3"/>
            <w:tcBorders>
              <w:top w:val="single" w:color="auto" w:sz="8" w:space="0"/>
              <w:left w:val="single" w:color="auto" w:sz="8" w:space="0"/>
              <w:bottom w:val="single" w:color="auto" w:sz="4" w:space="0"/>
              <w:right w:val="single" w:color="auto" w:sz="8" w:space="0"/>
            </w:tcBorders>
            <w:noWrap w:val="0"/>
            <w:vAlign w:val="top"/>
          </w:tcPr>
          <w:p w14:paraId="2F3ABDA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检查人：</w:t>
            </w:r>
          </w:p>
        </w:tc>
        <w:tc>
          <w:tcPr>
            <w:tcW w:w="6475" w:type="dxa"/>
            <w:gridSpan w:val="4"/>
            <w:tcBorders>
              <w:top w:val="single" w:color="auto" w:sz="8" w:space="0"/>
              <w:left w:val="single" w:color="auto" w:sz="8" w:space="0"/>
              <w:bottom w:val="single" w:color="auto" w:sz="4" w:space="0"/>
              <w:right w:val="single" w:color="auto" w:sz="8" w:space="0"/>
            </w:tcBorders>
            <w:noWrap w:val="0"/>
            <w:vAlign w:val="top"/>
          </w:tcPr>
          <w:p w14:paraId="44DA263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被考核单位确认签字盖章：</w:t>
            </w:r>
          </w:p>
        </w:tc>
      </w:tr>
    </w:tbl>
    <w:p w14:paraId="481E3A81">
      <w:pPr>
        <w:widowControl/>
        <w:numPr>
          <w:ilvl w:val="0"/>
          <w:numId w:val="0"/>
        </w:numPr>
        <w:spacing w:line="360" w:lineRule="auto"/>
        <w:ind w:leftChars="200"/>
        <w:jc w:val="left"/>
        <w:rPr>
          <w:rFonts w:hint="eastAsia" w:ascii="宋体" w:hAnsi="宋体" w:cs="宋体"/>
          <w:spacing w:val="-1"/>
          <w:sz w:val="24"/>
          <w:szCs w:val="24"/>
          <w:lang w:val="en-US" w:eastAsia="zh-CN"/>
        </w:rPr>
      </w:pPr>
    </w:p>
    <w:p w14:paraId="248B27F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en-US" w:eastAsia="zh-CN"/>
        </w:rPr>
      </w:pPr>
    </w:p>
    <w:p w14:paraId="2F3FB468">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8375FE3">
      <w:pPr>
        <w:pStyle w:val="2"/>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eastAsia="宋体"/>
          <w:b w:val="0"/>
          <w:bCs w:val="0"/>
          <w:color w:val="000000"/>
        </w:rPr>
      </w:pPr>
      <w:r>
        <w:rPr>
          <w:rFonts w:hint="eastAsia" w:ascii="Arial" w:hAnsi="Arial" w:eastAsia="宋体" w:cs="Times New Roman"/>
          <w:b w:val="0"/>
          <w:bCs w:val="0"/>
          <w:color w:val="000000"/>
          <w:kern w:val="44"/>
          <w:sz w:val="36"/>
          <w:szCs w:val="44"/>
          <w:lang w:val="en-US" w:eastAsia="zh-CN" w:bidi="ar-SA"/>
        </w:rPr>
        <w:t>第五部分</w:t>
      </w:r>
      <w:r>
        <w:rPr>
          <w:rFonts w:hint="eastAsia" w:cs="Times New Roman"/>
          <w:b w:val="0"/>
          <w:bCs w:val="0"/>
          <w:color w:val="000000"/>
          <w:kern w:val="44"/>
          <w:sz w:val="36"/>
          <w:szCs w:val="44"/>
          <w:lang w:val="en-US" w:eastAsia="zh-CN" w:bidi="ar-SA"/>
        </w:rPr>
        <w:t xml:space="preserve">  </w:t>
      </w:r>
      <w:r>
        <w:rPr>
          <w:rFonts w:hint="eastAsia" w:eastAsia="宋体"/>
          <w:b w:val="0"/>
          <w:bCs w:val="0"/>
          <w:color w:val="000000"/>
        </w:rPr>
        <w:t>询比采购投标文件格式</w:t>
      </w:r>
      <w:bookmarkEnd w:id="39"/>
    </w:p>
    <w:p w14:paraId="3473734C">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rPr>
      </w:pPr>
    </w:p>
    <w:p w14:paraId="744131C4">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bookmarkStart w:id="40" w:name="_Toc11197"/>
      <w:r>
        <w:rPr>
          <w:rFonts w:hint="eastAsia"/>
          <w:color w:val="000000"/>
        </w:rPr>
        <w:t>询比采购投标文件密封袋封面格式</w:t>
      </w:r>
      <w:bookmarkEnd w:id="40"/>
    </w:p>
    <w:p w14:paraId="29B8F48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文件编号：</w:t>
      </w:r>
    </w:p>
    <w:p w14:paraId="66FE5CA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22257E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F650C8A">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297ECAF2">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7935069A">
      <w:pPr>
        <w:spacing w:line="288" w:lineRule="auto"/>
        <w:ind w:right="-163"/>
        <w:jc w:val="center"/>
        <w:rPr>
          <w:rFonts w:hint="default" w:ascii="楷体" w:hAnsi="楷体" w:eastAsia="楷体" w:cs="楷体_GB2312"/>
          <w:b/>
          <w:w w:val="90"/>
          <w:kern w:val="52"/>
          <w:sz w:val="52"/>
          <w:szCs w:val="52"/>
          <w:lang w:val="en-US" w:eastAsia="zh-CN"/>
        </w:rPr>
      </w:pPr>
      <w:r>
        <w:rPr>
          <w:rFonts w:hint="eastAsia" w:ascii="黑体" w:hAnsi="黑体" w:eastAsia="黑体" w:cs="黑体"/>
          <w:b/>
          <w:w w:val="90"/>
          <w:kern w:val="52"/>
          <w:sz w:val="52"/>
          <w:szCs w:val="52"/>
          <w:lang w:val="en-US" w:eastAsia="zh-CN"/>
        </w:rPr>
        <w:t>张家口产业投资控股集团有限公司综合   服务项目</w:t>
      </w:r>
    </w:p>
    <w:p w14:paraId="36679978">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614A8586">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rPr>
      </w:pPr>
    </w:p>
    <w:p w14:paraId="26C2DBEB">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29AFBECC">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color w:val="000000"/>
          <w:sz w:val="56"/>
          <w:szCs w:val="56"/>
        </w:rPr>
      </w:pPr>
      <w:r>
        <w:rPr>
          <w:rFonts w:hint="eastAsia" w:ascii="黑体" w:hAnsi="宋体" w:eastAsia="黑体"/>
          <w:b/>
          <w:color w:val="000000"/>
          <w:sz w:val="56"/>
          <w:szCs w:val="56"/>
        </w:rPr>
        <w:t>询比采购投标文件</w:t>
      </w:r>
    </w:p>
    <w:p w14:paraId="26D7DA75">
      <w:pPr>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44"/>
          <w:szCs w:val="44"/>
        </w:rPr>
      </w:pPr>
    </w:p>
    <w:p w14:paraId="6106524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5D41B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（公章）</w:t>
      </w:r>
    </w:p>
    <w:p w14:paraId="305B08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投标日期：</w:t>
      </w:r>
    </w:p>
    <w:p w14:paraId="265116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标书类型：</w:t>
      </w:r>
      <w:r>
        <w:rPr>
          <w:rFonts w:hint="eastAsia" w:ascii="宋体" w:hAnsi="宋体"/>
          <w:color w:val="000000"/>
          <w:sz w:val="24"/>
          <w:szCs w:val="24"/>
          <w:u w:val="single"/>
        </w:rPr>
        <w:t>（壹）正（壹）副本（壹）电子版</w:t>
      </w:r>
    </w:p>
    <w:p w14:paraId="31185A03">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u w:val="single"/>
        </w:rPr>
      </w:pPr>
    </w:p>
    <w:p w14:paraId="594579E4">
      <w:pPr>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注：在标书外封面上注明截止日期前不得启封字样，供应商必须按提供的询比采购投标文件密封袋封面格式制作询比采购投标文件密封袋封面，密封袋封面必须加盖清晰的投标单位公章及法人章。</w:t>
      </w:r>
    </w:p>
    <w:p w14:paraId="05D374F3">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bookmarkStart w:id="67" w:name="_GoBack"/>
      <w:bookmarkEnd w:id="67"/>
      <w:bookmarkStart w:id="41" w:name="_Toc29384"/>
      <w:r>
        <w:rPr>
          <w:rFonts w:hint="eastAsia"/>
          <w:color w:val="000000"/>
        </w:rPr>
        <w:t>询比采购投标文件封面格式</w:t>
      </w:r>
      <w:bookmarkEnd w:id="41"/>
    </w:p>
    <w:p w14:paraId="7D7931D7">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r>
        <w:rPr>
          <w:rFonts w:hint="eastAsia" w:ascii="宋体" w:hAnsi="宋体"/>
          <w:color w:val="000000"/>
          <w:sz w:val="24"/>
        </w:rPr>
        <w:t>文件编号：</w:t>
      </w:r>
    </w:p>
    <w:p w14:paraId="04D2870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71DA4EF">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p>
    <w:p w14:paraId="64004255">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363EBF8A">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709EF30B">
      <w:pPr>
        <w:spacing w:line="288" w:lineRule="auto"/>
        <w:ind w:right="-163"/>
        <w:jc w:val="center"/>
        <w:rPr>
          <w:rFonts w:hint="default" w:ascii="楷体" w:hAnsi="楷体" w:eastAsia="楷体" w:cs="楷体_GB2312"/>
          <w:b/>
          <w:w w:val="90"/>
          <w:kern w:val="52"/>
          <w:sz w:val="52"/>
          <w:szCs w:val="52"/>
          <w:lang w:val="en-US" w:eastAsia="zh-CN"/>
        </w:rPr>
      </w:pPr>
      <w:r>
        <w:rPr>
          <w:rFonts w:hint="eastAsia" w:ascii="黑体" w:hAnsi="黑体" w:eastAsia="黑体" w:cs="黑体"/>
          <w:b/>
          <w:w w:val="90"/>
          <w:kern w:val="52"/>
          <w:sz w:val="52"/>
          <w:szCs w:val="52"/>
          <w:lang w:val="en-US" w:eastAsia="zh-CN"/>
        </w:rPr>
        <w:t>张家口产业投资控股集团有限公司综合   服务项目</w:t>
      </w:r>
    </w:p>
    <w:p w14:paraId="438242E3">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59B9E45F">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340A4E5D">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bCs/>
          <w:color w:val="000000"/>
          <w:sz w:val="56"/>
          <w:szCs w:val="56"/>
        </w:rPr>
      </w:pPr>
      <w:r>
        <w:rPr>
          <w:rFonts w:hint="eastAsia" w:ascii="黑体" w:hAnsi="宋体" w:eastAsia="黑体"/>
          <w:b/>
          <w:bCs/>
          <w:color w:val="000000"/>
          <w:sz w:val="56"/>
          <w:szCs w:val="56"/>
        </w:rPr>
        <w:t>询比采购投标文件</w:t>
      </w:r>
    </w:p>
    <w:p w14:paraId="5DB9B06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9B4449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A8EEDBD">
      <w:pPr>
        <w:pageBreakBefore w:val="0"/>
        <w:kinsoku/>
        <w:wordWrap/>
        <w:overflowPunct/>
        <w:topLinePunct w:val="0"/>
        <w:autoSpaceDE/>
        <w:autoSpaceDN/>
        <w:bidi w:val="0"/>
        <w:adjustRightInd/>
        <w:snapToGrid/>
        <w:spacing w:line="560" w:lineRule="exact"/>
        <w:ind w:firstLine="435"/>
        <w:textAlignment w:val="auto"/>
        <w:rPr>
          <w:rFonts w:hint="eastAsia" w:ascii="宋体" w:hAnsi="宋体"/>
          <w:color w:val="000000"/>
          <w:sz w:val="24"/>
        </w:rPr>
      </w:pPr>
    </w:p>
    <w:p w14:paraId="5ED3DB4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bookmarkStart w:id="42" w:name="_Toc10947"/>
      <w:bookmarkStart w:id="43" w:name="_Toc362532553"/>
      <w:bookmarkStart w:id="44" w:name="_Toc358906043"/>
      <w:bookmarkStart w:id="45" w:name="_Toc357776763"/>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700F8BF4">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117F61A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地址：</w:t>
      </w:r>
    </w:p>
    <w:p w14:paraId="3687FA8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2CD928F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联系电话：</w:t>
      </w:r>
    </w:p>
    <w:p w14:paraId="48B79A9D">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投标日期：</w:t>
      </w:r>
    </w:p>
    <w:p w14:paraId="2E26AF0E">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6AAD948F">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p>
    <w:p w14:paraId="102AAED0">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供应商诚信承诺书</w:t>
      </w:r>
    </w:p>
    <w:p w14:paraId="0E8EE11A">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供应商诚信承诺书</w:t>
      </w:r>
    </w:p>
    <w:p w14:paraId="7F804FFB">
      <w:pPr>
        <w:rPr>
          <w:rFonts w:hint="eastAsia"/>
        </w:rPr>
      </w:pPr>
    </w:p>
    <w:p w14:paraId="30C1EEB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4F3C6F9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b/>
          <w:color w:val="000000"/>
          <w:sz w:val="24"/>
          <w:szCs w:val="24"/>
        </w:rPr>
      </w:pPr>
      <w:r>
        <w:rPr>
          <w:rFonts w:hint="eastAsia" w:ascii="宋体" w:hAnsi="宋体"/>
          <w:color w:val="000000"/>
          <w:sz w:val="24"/>
          <w:szCs w:val="24"/>
        </w:rPr>
        <w:t>我公司自愿参与贵公司组织的</w:t>
      </w:r>
      <w:r>
        <w:rPr>
          <w:rFonts w:hint="eastAsia" w:ascii="宋体" w:hAnsi="宋体"/>
          <w:color w:val="000000"/>
          <w:sz w:val="24"/>
          <w:szCs w:val="24"/>
          <w:u w:val="single"/>
        </w:rPr>
        <w:t>（文件编号：）</w:t>
      </w:r>
      <w:r>
        <w:rPr>
          <w:rFonts w:hint="eastAsia" w:ascii="宋体" w:hAnsi="宋体"/>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宋体" w:hAnsi="宋体"/>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（一）提供虚假材料谋取中标（中标）的；</w:t>
      </w:r>
    </w:p>
    <w:p w14:paraId="341F3D2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（二）采取不正当手段诋毁、排挤其他供应商的；</w:t>
      </w:r>
    </w:p>
    <w:p w14:paraId="2B1D8ED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（三）与采购人、其他供应商或者采购招标人恶意串通的；</w:t>
      </w:r>
    </w:p>
    <w:p w14:paraId="2330C05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（四）向采购单位或责任人行贿或提供其他不正当利益的；</w:t>
      </w:r>
    </w:p>
    <w:p w14:paraId="10E086C9">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（六）开标后擅自撤销投标，影响招标继续进行的；</w:t>
      </w:r>
    </w:p>
    <w:p w14:paraId="5E81753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（七）无正当理由，在规定时间内不与采购单位签订合同的；</w:t>
      </w:r>
    </w:p>
    <w:p w14:paraId="0D7FF48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（八）将中标项目转让给他人或非法分包他人的；</w:t>
      </w:r>
    </w:p>
    <w:p w14:paraId="4E80307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（九）无正当理由，拒绝履行合同义务的；</w:t>
      </w:r>
    </w:p>
    <w:p w14:paraId="35E9043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（十一）无正当理由放弃中标（中标）项目的；</w:t>
      </w:r>
    </w:p>
    <w:p w14:paraId="19394A2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（十三）与采购人串通，对尚未履约完毕的采购项目出具虚假验收报告的；</w:t>
      </w:r>
    </w:p>
    <w:p w14:paraId="6C936FA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（十五）投标后对询比采购文件的相关内容再进行质疑的；</w:t>
      </w:r>
    </w:p>
    <w:p w14:paraId="031C13F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（十六）恶意投诉的行为：投诉经查无实据的、捏造事实或者提供虚假投诉材料的；</w:t>
      </w:r>
    </w:p>
    <w:p w14:paraId="50D636E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（十七）拒绝有关部门监督检查或者提供虚假情况的；</w:t>
      </w:r>
    </w:p>
    <w:p w14:paraId="08003F5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（十八）财政、监察部门认定的其他不诚信行为。</w:t>
      </w:r>
    </w:p>
    <w:p w14:paraId="0D49779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公司名称:（盖章）</w:t>
      </w:r>
    </w:p>
    <w:p w14:paraId="473C9B1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法定代表人（签字）：</w:t>
      </w:r>
    </w:p>
    <w:p w14:paraId="240DE4EE">
      <w:pPr>
        <w:pageBreakBefore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ascii="宋体" w:hAnsi="宋体"/>
          <w:color w:val="000000"/>
          <w:sz w:val="24"/>
          <w:szCs w:val="24"/>
        </w:rPr>
        <w:t>年月日</w:t>
      </w:r>
      <w:bookmarkStart w:id="46" w:name="_Toc28013"/>
    </w:p>
    <w:p w14:paraId="66D376CF">
      <w:pPr>
        <w:rPr>
          <w:rFonts w:hint="eastAsia"/>
          <w:color w:val="000000"/>
        </w:rPr>
      </w:pPr>
      <w:r>
        <w:rPr>
          <w:rFonts w:hint="eastAsia"/>
          <w:color w:val="000000"/>
        </w:rPr>
        <w:br w:type="page"/>
      </w:r>
    </w:p>
    <w:p w14:paraId="75C55F38">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24"/>
          <w:szCs w:val="24"/>
        </w:rPr>
      </w:pPr>
      <w:r>
        <w:rPr>
          <w:rFonts w:hint="eastAsia"/>
          <w:color w:val="000000"/>
          <w:sz w:val="24"/>
          <w:szCs w:val="24"/>
        </w:rPr>
        <w:t>投标函格式</w:t>
      </w:r>
      <w:bookmarkEnd w:id="46"/>
    </w:p>
    <w:p w14:paraId="46A7FB6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r>
        <w:rPr>
          <w:rFonts w:hint="eastAsia" w:ascii="宋体" w:hAnsi="宋体"/>
          <w:b/>
          <w:color w:val="000000"/>
          <w:sz w:val="24"/>
          <w:szCs w:val="24"/>
        </w:rPr>
        <w:t>投标函</w:t>
      </w:r>
    </w:p>
    <w:p w14:paraId="05F9F65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p>
    <w:p w14:paraId="56B7FAC4">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lang w:val="en-US" w:eastAsia="zh-CN"/>
        </w:rPr>
        <w:t>张家口霖辉物业管理集团有限公司</w:t>
      </w:r>
    </w:p>
    <w:p w14:paraId="6798870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根据贵方</w:t>
      </w:r>
      <w:r>
        <w:rPr>
          <w:rFonts w:hint="eastAsia" w:ascii="宋体" w:hAnsi="宋体"/>
          <w:iCs/>
          <w:color w:val="000000"/>
          <w:sz w:val="24"/>
          <w:szCs w:val="24"/>
          <w:u w:val="single"/>
          <w:lang w:val="en-US" w:eastAsia="zh-CN"/>
        </w:rPr>
        <w:t>（项目名称）</w:t>
      </w:r>
      <w:r>
        <w:rPr>
          <w:rFonts w:hint="eastAsia" w:ascii="宋体" w:hAnsi="宋体"/>
          <w:color w:val="000000"/>
          <w:sz w:val="24"/>
          <w:szCs w:val="24"/>
        </w:rPr>
        <w:t>询比采购文件</w:t>
      </w:r>
      <w:r>
        <w:rPr>
          <w:rFonts w:hint="eastAsia" w:ascii="宋体" w:hAnsi="宋体"/>
          <w:color w:val="000000"/>
          <w:sz w:val="24"/>
          <w:szCs w:val="24"/>
          <w:u w:val="single"/>
        </w:rPr>
        <w:t>（项目编号：）</w:t>
      </w:r>
      <w:r>
        <w:rPr>
          <w:rFonts w:hint="eastAsia" w:ascii="宋体" w:hAnsi="宋体"/>
          <w:color w:val="000000"/>
          <w:sz w:val="24"/>
          <w:szCs w:val="24"/>
        </w:rPr>
        <w:t>，正式授权下述签字人</w:t>
      </w:r>
      <w:r>
        <w:rPr>
          <w:rFonts w:hint="eastAsia" w:ascii="宋体" w:hAnsi="宋体"/>
          <w:color w:val="000000"/>
          <w:sz w:val="24"/>
          <w:szCs w:val="24"/>
          <w:u w:val="single"/>
        </w:rPr>
        <w:t>(姓名和职务)</w:t>
      </w:r>
      <w:r>
        <w:rPr>
          <w:rFonts w:hint="eastAsia" w:ascii="宋体" w:hAnsi="宋体"/>
          <w:color w:val="000000"/>
          <w:sz w:val="24"/>
          <w:szCs w:val="24"/>
        </w:rPr>
        <w:t>代表供应商</w:t>
      </w:r>
      <w:r>
        <w:rPr>
          <w:rFonts w:hint="eastAsia" w:ascii="宋体" w:hAnsi="宋体"/>
          <w:color w:val="000000"/>
          <w:sz w:val="24"/>
          <w:szCs w:val="24"/>
          <w:u w:val="single"/>
        </w:rPr>
        <w:t>(供应商的名称)</w:t>
      </w:r>
      <w:r>
        <w:rPr>
          <w:rFonts w:hint="eastAsia" w:ascii="宋体" w:hAnsi="宋体"/>
          <w:color w:val="000000"/>
          <w:sz w:val="24"/>
          <w:szCs w:val="24"/>
        </w:rPr>
        <w:t>,提交询比采购投标文件。</w:t>
      </w:r>
    </w:p>
    <w:p w14:paraId="7B3D9B25">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据此函，签字人宣布同意如下：</w:t>
      </w:r>
    </w:p>
    <w:p w14:paraId="12A02A0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（1）按询比采购文件规定，</w:t>
      </w:r>
      <w:r>
        <w:rPr>
          <w:rFonts w:hint="eastAsia" w:ascii="宋体" w:hAnsi="宋体"/>
          <w:color w:val="000000"/>
          <w:sz w:val="24"/>
          <w:szCs w:val="24"/>
          <w:highlight w:val="yellow"/>
          <w:u w:val="single"/>
        </w:rPr>
        <w:t>(供应商的名称</w:t>
      </w:r>
      <w:r>
        <w:rPr>
          <w:rFonts w:hint="eastAsia" w:ascii="宋体" w:hAnsi="宋体"/>
          <w:color w:val="000000"/>
          <w:sz w:val="24"/>
          <w:szCs w:val="24"/>
          <w:highlight w:val="yellow"/>
          <w:u w:val="single"/>
          <w:lang w:eastAsia="zh-CN"/>
        </w:rPr>
        <w:t>）</w:t>
      </w:r>
      <w:r>
        <w:rPr>
          <w:rFonts w:hint="eastAsia" w:ascii="宋体" w:hAnsi="宋体"/>
          <w:color w:val="000000"/>
          <w:sz w:val="24"/>
          <w:szCs w:val="24"/>
        </w:rPr>
        <w:t>投标报价为：</w:t>
      </w:r>
    </w:p>
    <w:p w14:paraId="5F0E7EC8">
      <w:pPr>
        <w:pageBreakBefore w:val="0"/>
        <w:kinsoku/>
        <w:wordWrap/>
        <w:overflowPunct/>
        <w:topLinePunct w:val="0"/>
        <w:autoSpaceDE/>
        <w:autoSpaceDN/>
        <w:bidi w:val="0"/>
        <w:adjustRightInd/>
        <w:snapToGrid/>
        <w:spacing w:line="560" w:lineRule="exact"/>
        <w:ind w:firstLine="600" w:firstLineChars="250"/>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人民币（小写）元；人民币（大写）：元；</w:t>
      </w:r>
    </w:p>
    <w:p w14:paraId="5681BD5F">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（2）我们承担询比采购文件规定的责任和义务；</w:t>
      </w:r>
    </w:p>
    <w:p w14:paraId="3CD7B34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（4）我们同意从规定的开标日期起遵循本投标书，并在规定的投标有效期满之前均具有约束力；</w:t>
      </w:r>
    </w:p>
    <w:p w14:paraId="15D4B5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（6）同意提供贵方可能另外要求的与本次招标有关的任何数据或资料；</w:t>
      </w:r>
    </w:p>
    <w:p w14:paraId="208918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（7）我们完全理解贵方不一定要接受最低报价的投标；</w:t>
      </w:r>
    </w:p>
    <w:p w14:paraId="046E946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（9）遵守询比采购文件中要求的收费项目和标准；</w:t>
      </w:r>
    </w:p>
    <w:p w14:paraId="5AA8DD5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（10）与本次投标有关的联系方式为：</w:t>
      </w:r>
    </w:p>
    <w:p w14:paraId="6E1ABD40">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地址：邮政编码：</w:t>
      </w:r>
    </w:p>
    <w:p w14:paraId="37D3F19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联系人：电话：传真：</w:t>
      </w:r>
    </w:p>
    <w:p w14:paraId="03297031">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法定代表人（签字）：</w:t>
      </w:r>
    </w:p>
    <w:p w14:paraId="4896963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供应商全称（公章）：</w:t>
      </w:r>
    </w:p>
    <w:p w14:paraId="37478F72">
      <w:pPr>
        <w:pageBreakBefore w:val="0"/>
        <w:kinsoku/>
        <w:wordWrap/>
        <w:overflowPunct/>
        <w:topLinePunct w:val="0"/>
        <w:autoSpaceDE/>
        <w:autoSpaceDN/>
        <w:bidi w:val="0"/>
        <w:adjustRightInd/>
        <w:snapToGrid/>
        <w:spacing w:line="560" w:lineRule="exact"/>
        <w:ind w:firstLine="5760" w:firstLineChars="2400"/>
        <w:jc w:val="left"/>
        <w:textAlignment w:val="auto"/>
        <w:rPr>
          <w:rFonts w:hint="eastAsia"/>
          <w:color w:val="000000"/>
          <w:sz w:val="24"/>
          <w:szCs w:val="24"/>
        </w:rPr>
      </w:pPr>
      <w:r>
        <w:rPr>
          <w:rFonts w:hint="eastAsia"/>
          <w:color w:val="000000"/>
          <w:sz w:val="24"/>
          <w:szCs w:val="24"/>
        </w:rPr>
        <w:t>年月日</w:t>
      </w:r>
    </w:p>
    <w:p w14:paraId="0507F697">
      <w:pPr>
        <w:pageBreakBefore w:val="0"/>
        <w:kinsoku/>
        <w:wordWrap/>
        <w:overflowPunct/>
        <w:topLinePunct w:val="0"/>
        <w:autoSpaceDE/>
        <w:autoSpaceDN/>
        <w:bidi w:val="0"/>
        <w:adjustRightInd/>
        <w:snapToGrid/>
        <w:spacing w:line="560" w:lineRule="exact"/>
        <w:textAlignment w:val="auto"/>
        <w:outlineLvl w:val="9"/>
        <w:rPr>
          <w:rFonts w:hint="eastAsia"/>
        </w:rPr>
      </w:pPr>
    </w:p>
    <w:p w14:paraId="1098586B">
      <w:pPr>
        <w:rPr>
          <w:rFonts w:hint="eastAsia"/>
          <w:color w:val="000000"/>
        </w:rPr>
      </w:pPr>
      <w:bookmarkStart w:id="47" w:name="_Toc28617"/>
      <w:r>
        <w:rPr>
          <w:rFonts w:hint="eastAsia"/>
          <w:color w:val="000000"/>
        </w:rPr>
        <w:br w:type="page"/>
      </w:r>
    </w:p>
    <w:p w14:paraId="1D253A0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7"/>
    </w:p>
    <w:p w14:paraId="30D92A1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5"/>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064"/>
        <w:gridCol w:w="557"/>
        <w:gridCol w:w="1064"/>
        <w:gridCol w:w="1064"/>
        <w:gridCol w:w="1204"/>
        <w:gridCol w:w="1304"/>
        <w:gridCol w:w="1457"/>
      </w:tblGrid>
      <w:tr w14:paraId="2F24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FEFF44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3"/>
            <w:tcBorders>
              <w:top w:val="single" w:color="auto" w:sz="4" w:space="0"/>
              <w:left w:val="single" w:color="auto" w:sz="4" w:space="0"/>
              <w:bottom w:val="single" w:color="auto" w:sz="4" w:space="0"/>
              <w:right w:val="single" w:color="auto" w:sz="4" w:space="0"/>
            </w:tcBorders>
            <w:noWrap w:val="0"/>
            <w:vAlign w:val="center"/>
          </w:tcPr>
          <w:p w14:paraId="1C71C3B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76C448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0"/>
                <w:sz w:val="24"/>
                <w:szCs w:val="24"/>
                <w:highlight w:val="yellow"/>
                <w:lang w:val="en-US" w:eastAsia="zh-CN" w:bidi="ar"/>
              </w:rPr>
            </w:pPr>
            <w:r>
              <w:rPr>
                <w:rFonts w:hint="eastAsia" w:asciiTheme="minorEastAsia" w:hAnsiTheme="minorEastAsia" w:eastAsiaTheme="minorEastAsia" w:cstheme="minorEastAsia"/>
                <w:kern w:val="0"/>
                <w:sz w:val="24"/>
                <w:szCs w:val="24"/>
                <w:highlight w:val="yellow"/>
                <w:lang w:val="en-US" w:eastAsia="zh-CN" w:bidi="ar"/>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4E81C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55D3F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B8DFCB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D805B6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40D6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5E92F1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3"/>
            <w:tcBorders>
              <w:top w:val="single" w:color="auto" w:sz="4" w:space="0"/>
              <w:left w:val="single" w:color="auto" w:sz="4" w:space="0"/>
              <w:bottom w:val="single" w:color="auto" w:sz="4" w:space="0"/>
              <w:right w:val="single" w:color="auto" w:sz="4" w:space="0"/>
            </w:tcBorders>
            <w:noWrap w:val="0"/>
            <w:vAlign w:val="center"/>
          </w:tcPr>
          <w:p w14:paraId="4F9409F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A0BE84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highlight w:val="yellow"/>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EADF5C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7FB3E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55174C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16C324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DDB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33A3846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3"/>
            <w:tcBorders>
              <w:top w:val="single" w:color="auto" w:sz="4" w:space="0"/>
              <w:left w:val="single" w:color="auto" w:sz="4" w:space="0"/>
              <w:bottom w:val="single" w:color="auto" w:sz="4" w:space="0"/>
              <w:right w:val="single" w:color="auto" w:sz="4" w:space="0"/>
            </w:tcBorders>
            <w:noWrap w:val="0"/>
            <w:vAlign w:val="center"/>
          </w:tcPr>
          <w:p w14:paraId="177E125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6546E8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highlight w:val="yellow"/>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041AB1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91BBEF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BA81E8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81E750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D14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6B4216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3"/>
            <w:tcBorders>
              <w:top w:val="single" w:color="auto" w:sz="4" w:space="0"/>
              <w:left w:val="single" w:color="auto" w:sz="4" w:space="0"/>
              <w:bottom w:val="single" w:color="auto" w:sz="4" w:space="0"/>
              <w:right w:val="single" w:color="auto" w:sz="4" w:space="0"/>
            </w:tcBorders>
            <w:noWrap w:val="0"/>
            <w:vAlign w:val="center"/>
          </w:tcPr>
          <w:p w14:paraId="3CBE4C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FD1F2F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highlight w:val="yellow"/>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447C46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E8202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B101BE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F03FE9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12C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4A8C51D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3"/>
            <w:tcBorders>
              <w:top w:val="single" w:color="auto" w:sz="4" w:space="0"/>
              <w:left w:val="single" w:color="auto" w:sz="4" w:space="0"/>
              <w:bottom w:val="single" w:color="auto" w:sz="4" w:space="0"/>
              <w:right w:val="single" w:color="auto" w:sz="4" w:space="0"/>
            </w:tcBorders>
            <w:noWrap w:val="0"/>
            <w:vAlign w:val="center"/>
          </w:tcPr>
          <w:p w14:paraId="5B0E36D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E8309E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highlight w:val="yellow"/>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091AA9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21D225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762D28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50D7A5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45EC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49AB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DCC2F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79D37E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6650" w:type="dxa"/>
            <w:gridSpan w:val="6"/>
            <w:tcBorders>
              <w:top w:val="single" w:color="auto" w:sz="4" w:space="0"/>
              <w:left w:val="single" w:color="auto" w:sz="4" w:space="0"/>
              <w:bottom w:val="single" w:color="auto" w:sz="4" w:space="0"/>
              <w:right w:val="single" w:color="auto" w:sz="4" w:space="0"/>
            </w:tcBorders>
            <w:noWrap w:val="0"/>
            <w:vAlign w:val="center"/>
          </w:tcPr>
          <w:p w14:paraId="26A5C5A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E94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E2FC2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ED6B92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p>
        </w:tc>
        <w:tc>
          <w:tcPr>
            <w:tcW w:w="6650" w:type="dxa"/>
            <w:gridSpan w:val="6"/>
            <w:tcBorders>
              <w:top w:val="single" w:color="auto" w:sz="4" w:space="0"/>
              <w:left w:val="single" w:color="auto" w:sz="4" w:space="0"/>
              <w:bottom w:val="single" w:color="auto" w:sz="4" w:space="0"/>
              <w:right w:val="single" w:color="auto" w:sz="4" w:space="0"/>
            </w:tcBorders>
            <w:noWrap w:val="0"/>
            <w:vAlign w:val="center"/>
          </w:tcPr>
          <w:p w14:paraId="4421799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kern w:val="0"/>
                <w:sz w:val="24"/>
                <w:szCs w:val="24"/>
                <w:lang w:bidi="ar"/>
              </w:rPr>
              <w:t>小写</w:t>
            </w:r>
            <w:r>
              <w:rPr>
                <w:rFonts w:hint="eastAsia" w:asciiTheme="minorEastAsia" w:hAnsiTheme="minorEastAsia" w:eastAsiaTheme="minorEastAsia" w:cstheme="minorEastAsia"/>
                <w:b/>
                <w:kern w:val="0"/>
                <w:sz w:val="24"/>
                <w:szCs w:val="24"/>
                <w:lang w:val="en-US"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none"/>
                <w:lang w:val="en-US" w:eastAsia="zh-CN" w:bidi="ar"/>
              </w:rPr>
              <w:t>元</w:t>
            </w:r>
          </w:p>
        </w:tc>
      </w:tr>
      <w:tr w14:paraId="4958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32222B">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9CD633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p>
        </w:tc>
        <w:tc>
          <w:tcPr>
            <w:tcW w:w="6650" w:type="dxa"/>
            <w:gridSpan w:val="6"/>
            <w:tcBorders>
              <w:top w:val="single" w:color="auto" w:sz="4" w:space="0"/>
              <w:left w:val="single" w:color="auto" w:sz="4" w:space="0"/>
              <w:bottom w:val="single" w:color="auto" w:sz="4" w:space="0"/>
              <w:right w:val="single" w:color="auto" w:sz="4" w:space="0"/>
            </w:tcBorders>
            <w:noWrap w:val="0"/>
            <w:vAlign w:val="center"/>
          </w:tcPr>
          <w:p w14:paraId="36AC09D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u w:val="none"/>
                <w:lang w:val="en-US" w:eastAsia="zh-CN"/>
              </w:rPr>
            </w:pPr>
            <w:r>
              <w:rPr>
                <w:rFonts w:hint="eastAsia" w:asciiTheme="minorEastAsia" w:hAnsiTheme="minorEastAsia" w:eastAsiaTheme="minorEastAsia" w:cstheme="minorEastAsia"/>
                <w:b/>
                <w:kern w:val="0"/>
                <w:sz w:val="24"/>
                <w:szCs w:val="24"/>
                <w:lang w:bidi="ar"/>
              </w:rPr>
              <w:t>大写</w:t>
            </w:r>
            <w:r>
              <w:rPr>
                <w:rFonts w:hint="eastAsia" w:asciiTheme="minorEastAsia" w:hAnsiTheme="minorEastAsia" w:eastAsiaTheme="minorEastAsia" w:cstheme="minorEastAsia"/>
                <w:b/>
                <w:kern w:val="0"/>
                <w:sz w:val="24"/>
                <w:szCs w:val="24"/>
                <w:lang w:val="en-US"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none"/>
                <w:lang w:val="en-US" w:eastAsia="zh-CN" w:bidi="ar"/>
              </w:rPr>
              <w:t>元</w:t>
            </w:r>
          </w:p>
        </w:tc>
      </w:tr>
    </w:tbl>
    <w:p w14:paraId="587B49C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566E3FA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3、单价和总价均应包括全部货物费、包装费、装卸费、运输等费用，以及已支付或将支付的营业税和其它税费。</w:t>
      </w:r>
    </w:p>
    <w:p w14:paraId="125AEEE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4、价格合计数与投标函总价数一致。</w:t>
      </w:r>
    </w:p>
    <w:p w14:paraId="0C547331">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bookmarkStart w:id="48" w:name="_Toc11035"/>
      <w:bookmarkStart w:id="49" w:name="_Toc454176467"/>
      <w:bookmarkStart w:id="50" w:name="_Toc454178787"/>
      <w:bookmarkStart w:id="51" w:name="_Toc16"/>
      <w:bookmarkStart w:id="52" w:name="_Toc498612957"/>
      <w:bookmarkStart w:id="53" w:name="_Toc8958"/>
      <w:bookmarkStart w:id="54" w:name="_Toc259996721"/>
      <w:bookmarkStart w:id="55" w:name="_Toc30357"/>
      <w:r>
        <w:rPr>
          <w:rFonts w:hint="eastAsia" w:asciiTheme="minorEastAsia" w:hAnsiTheme="minorEastAsia" w:eastAsiaTheme="minorEastAsia" w:cstheme="minorEastAsia"/>
          <w:kern w:val="0"/>
          <w:sz w:val="24"/>
          <w:szCs w:val="24"/>
          <w:lang w:bidi="ar"/>
        </w:rPr>
        <w:t>投标人：</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法定代表人或其授权委托人：</w:t>
      </w:r>
    </w:p>
    <w:p w14:paraId="771D9217">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（签字或盖章）</w:t>
      </w:r>
    </w:p>
    <w:p w14:paraId="0CDC36E4">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0E3EFD63">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p>
    <w:p w14:paraId="2DE4322C">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服务要求响应及偏离表格式</w:t>
      </w:r>
      <w:bookmarkEnd w:id="48"/>
      <w:bookmarkEnd w:id="49"/>
      <w:bookmarkEnd w:id="50"/>
      <w:bookmarkEnd w:id="51"/>
      <w:bookmarkEnd w:id="52"/>
      <w:bookmarkEnd w:id="53"/>
      <w:bookmarkEnd w:id="54"/>
      <w:bookmarkEnd w:id="55"/>
    </w:p>
    <w:p w14:paraId="62B73E6F">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7EE9EF8">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服务要求响应及偏离表</w:t>
      </w:r>
    </w:p>
    <w:p w14:paraId="3E5A749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bl>
      <w:tblPr>
        <w:tblStyle w:val="15"/>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r>
    </w:tbl>
    <w:p w14:paraId="339FF893">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（由投标人据实提交）</w:t>
      </w:r>
    </w:p>
    <w:p w14:paraId="45A45BFE">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p>
    <w:p w14:paraId="041914D8">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法定代表人或其授权委托人（</w:t>
      </w:r>
      <w:r>
        <w:rPr>
          <w:rFonts w:hint="eastAsia" w:asciiTheme="minorEastAsia" w:hAnsiTheme="minorEastAsia" w:eastAsiaTheme="minorEastAsia" w:cstheme="minorEastAsia"/>
          <w:kern w:val="0"/>
          <w:sz w:val="24"/>
          <w:szCs w:val="24"/>
          <w:lang w:bidi="ar"/>
        </w:rPr>
        <w:t>签字或盖章</w:t>
      </w:r>
      <w:r>
        <w:rPr>
          <w:rFonts w:hint="eastAsia" w:asciiTheme="minorEastAsia" w:hAnsiTheme="minorEastAsia" w:eastAsiaTheme="minorEastAsia" w:cstheme="minorEastAsia"/>
          <w:bCs/>
          <w:kern w:val="0"/>
          <w:sz w:val="24"/>
          <w:szCs w:val="24"/>
          <w:lang w:bidi="ar"/>
        </w:rPr>
        <w:t>）：</w:t>
      </w:r>
    </w:p>
    <w:p w14:paraId="18FD5637">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填写说明：</w:t>
      </w:r>
    </w:p>
    <w:p w14:paraId="629FBAB5">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1、投标人应当根据询比采购文件</w:t>
      </w:r>
      <w:r>
        <w:rPr>
          <w:rFonts w:hint="eastAsia" w:asciiTheme="minorEastAsia" w:hAnsiTheme="minorEastAsia" w:eastAsiaTheme="minorEastAsia" w:cstheme="minorEastAsia"/>
          <w:sz w:val="24"/>
          <w:szCs w:val="24"/>
          <w:lang w:bidi="ar"/>
        </w:rPr>
        <w:t>技术规格及要求</w:t>
      </w:r>
      <w:r>
        <w:rPr>
          <w:rFonts w:hint="eastAsia" w:asciiTheme="minorEastAsia" w:hAnsiTheme="minorEastAsia" w:eastAsiaTheme="minorEastAsia" w:cstheme="minorEastAsia"/>
          <w:bCs/>
          <w:kern w:val="0"/>
          <w:sz w:val="24"/>
          <w:szCs w:val="24"/>
          <w:lang w:bidi="ar"/>
        </w:rPr>
        <w:t>各项需求的内容填报技术参数响应及偏离表。</w:t>
      </w:r>
    </w:p>
    <w:p w14:paraId="7278307D">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asciiTheme="minorEastAsia" w:hAnsiTheme="minorEastAsia" w:eastAsiaTheme="minorEastAsia" w:cstheme="minorEastAsia"/>
          <w:color w:val="000000"/>
          <w:sz w:val="24"/>
          <w:szCs w:val="24"/>
        </w:rPr>
        <w:br w:type="page"/>
      </w:r>
      <w:bookmarkStart w:id="56" w:name="_Toc3499"/>
      <w:r>
        <w:rPr>
          <w:rFonts w:hint="eastAsia"/>
          <w:color w:val="000000"/>
          <w:sz w:val="24"/>
          <w:szCs w:val="24"/>
        </w:rPr>
        <w:t>供应商基本情况表格式</w:t>
      </w:r>
      <w:bookmarkEnd w:id="56"/>
    </w:p>
    <w:p w14:paraId="7EB0E655">
      <w:pPr>
        <w:pageBreakBefore w:val="0"/>
        <w:kinsoku/>
        <w:wordWrap/>
        <w:overflowPunct/>
        <w:topLinePunct w:val="0"/>
        <w:autoSpaceDE/>
        <w:autoSpaceDN/>
        <w:bidi w:val="0"/>
        <w:adjustRightInd/>
        <w:snapToGrid/>
        <w:spacing w:line="560" w:lineRule="exact"/>
        <w:ind w:firstLine="437"/>
        <w:textAlignment w:val="auto"/>
        <w:rPr>
          <w:rFonts w:hint="eastAsia"/>
          <w:color w:val="000000"/>
          <w:sz w:val="24"/>
          <w:szCs w:val="24"/>
        </w:rPr>
      </w:pPr>
    </w:p>
    <w:p w14:paraId="6C685C4F">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供应商基本情况表</w:t>
      </w:r>
    </w:p>
    <w:p w14:paraId="6CDDDB66">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cs="宋体"/>
          <w:b/>
          <w:sz w:val="24"/>
          <w:szCs w:val="24"/>
        </w:rPr>
      </w:pPr>
      <w:r>
        <w:rPr>
          <w:rFonts w:hint="eastAsia" w:ascii="宋体" w:hAnsi="宋体" w:cs="宋体"/>
          <w:b/>
          <w:kern w:val="0"/>
          <w:sz w:val="24"/>
          <w:szCs w:val="24"/>
          <w:lang w:bidi="ar"/>
        </w:rPr>
        <w:t>一、名称和概况：</w:t>
      </w:r>
    </w:p>
    <w:p w14:paraId="1FB25E21">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1.投标人名称：</w:t>
      </w:r>
    </w:p>
    <w:p w14:paraId="69DF659D">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2.单位地址：</w:t>
      </w:r>
    </w:p>
    <w:p w14:paraId="0510E0A6">
      <w:pPr>
        <w:pageBreakBefore w:val="0"/>
        <w:widowControl/>
        <w:tabs>
          <w:tab w:val="left" w:pos="2282"/>
        </w:tabs>
        <w:kinsoku/>
        <w:wordWrap/>
        <w:overflowPunct/>
        <w:topLinePunct w:val="0"/>
        <w:autoSpaceDE/>
        <w:autoSpaceDN/>
        <w:bidi w:val="0"/>
        <w:adjustRightInd/>
        <w:snapToGrid/>
        <w:spacing w:line="560" w:lineRule="exact"/>
        <w:ind w:firstLine="720" w:firstLineChars="3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邮编：</w:t>
      </w:r>
    </w:p>
    <w:p w14:paraId="7A6A8377">
      <w:pPr>
        <w:pageBreakBefore w:val="0"/>
        <w:widowControl/>
        <w:tabs>
          <w:tab w:val="left" w:pos="2282"/>
        </w:tabs>
        <w:kinsoku/>
        <w:wordWrap/>
        <w:overflowPunct/>
        <w:topLinePunct w:val="0"/>
        <w:autoSpaceDE/>
        <w:autoSpaceDN/>
        <w:bidi w:val="0"/>
        <w:adjustRightInd/>
        <w:snapToGrid/>
        <w:spacing w:line="560" w:lineRule="exact"/>
        <w:ind w:firstLine="720" w:firstLineChars="3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传真/电话：</w:t>
      </w:r>
    </w:p>
    <w:p w14:paraId="4A24B524">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sz w:val="24"/>
          <w:szCs w:val="24"/>
          <w:u w:val="single"/>
          <w:lang w:eastAsia="zh-CN"/>
        </w:rPr>
      </w:pPr>
      <w:r>
        <w:rPr>
          <w:rFonts w:hint="eastAsia" w:ascii="宋体" w:hAnsi="宋体" w:cs="宋体"/>
          <w:bCs/>
          <w:kern w:val="0"/>
          <w:sz w:val="24"/>
          <w:szCs w:val="24"/>
          <w:lang w:bidi="ar"/>
        </w:rPr>
        <w:t>3.成立日期或注册日期：</w:t>
      </w:r>
    </w:p>
    <w:p w14:paraId="6CA20992">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4.投标人法定代表人名称：</w:t>
      </w:r>
    </w:p>
    <w:p w14:paraId="0583DC65">
      <w:pPr>
        <w:pageBreakBefore w:val="0"/>
        <w:widowControl/>
        <w:tabs>
          <w:tab w:val="left" w:pos="2282"/>
        </w:tabs>
        <w:kinsoku/>
        <w:wordWrap/>
        <w:overflowPunct/>
        <w:topLinePunct w:val="0"/>
        <w:autoSpaceDE/>
        <w:autoSpaceDN/>
        <w:bidi w:val="0"/>
        <w:adjustRightInd/>
        <w:snapToGrid/>
        <w:spacing w:line="560" w:lineRule="exact"/>
        <w:ind w:firstLine="480"/>
        <w:jc w:val="left"/>
        <w:textAlignment w:val="auto"/>
        <w:rPr>
          <w:rFonts w:hint="eastAsia" w:ascii="宋体" w:cs="宋体"/>
          <w:bCs/>
          <w:sz w:val="24"/>
          <w:szCs w:val="24"/>
        </w:rPr>
      </w:pPr>
      <w:r>
        <w:rPr>
          <w:rFonts w:hint="eastAsia" w:ascii="宋体" w:hAnsi="宋体" w:cs="宋体"/>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sz w:val="24"/>
          <w:szCs w:val="24"/>
        </w:rPr>
      </w:pPr>
      <w:r>
        <w:rPr>
          <w:rFonts w:hint="eastAsia" w:ascii="宋体" w:hAnsi="宋体" w:cs="宋体"/>
          <w:kern w:val="0"/>
          <w:sz w:val="24"/>
          <w:szCs w:val="24"/>
          <w:lang w:bidi="ar"/>
        </w:rPr>
        <w:t>投标人名称：（加盖公章）</w:t>
      </w:r>
    </w:p>
    <w:p w14:paraId="11754CAD">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bCs/>
          <w:sz w:val="24"/>
          <w:szCs w:val="24"/>
        </w:rPr>
      </w:pPr>
      <w:r>
        <w:rPr>
          <w:rFonts w:hint="eastAsia" w:ascii="宋体" w:hAnsi="宋体" w:cs="宋体"/>
          <w:kern w:val="0"/>
          <w:sz w:val="24"/>
          <w:szCs w:val="24"/>
          <w:lang w:bidi="ar"/>
        </w:rPr>
        <w:t>法定代表人或授权代理人：（签字或盖章）</w:t>
      </w:r>
    </w:p>
    <w:p w14:paraId="4A07CF36">
      <w:pPr>
        <w:pageBreakBefore w:val="0"/>
        <w:tabs>
          <w:tab w:val="left" w:pos="2282"/>
        </w:tabs>
        <w:kinsoku/>
        <w:wordWrap/>
        <w:overflowPunct/>
        <w:topLinePunct w:val="0"/>
        <w:autoSpaceDE/>
        <w:autoSpaceDN/>
        <w:bidi w:val="0"/>
        <w:adjustRightInd/>
        <w:snapToGrid/>
        <w:spacing w:line="560" w:lineRule="exact"/>
        <w:ind w:firstLine="482" w:firstLineChars="200"/>
        <w:textAlignment w:val="auto"/>
        <w:rPr>
          <w:rFonts w:hint="eastAsia" w:ascii="宋体" w:hAnsi="宋体"/>
          <w:bCs/>
          <w:color w:val="000000"/>
          <w:sz w:val="24"/>
          <w:szCs w:val="24"/>
        </w:rPr>
      </w:pPr>
      <w:r>
        <w:rPr>
          <w:rFonts w:hint="eastAsia" w:ascii="宋体" w:hAnsi="宋体"/>
          <w:b/>
          <w:sz w:val="24"/>
          <w:szCs w:val="24"/>
          <w:lang w:bidi="ar"/>
        </w:rPr>
        <w:t>二、投标单位简要说明</w:t>
      </w:r>
    </w:p>
    <w:p w14:paraId="7DDBBBE7">
      <w:pPr>
        <w:pageBreakBefore w:val="0"/>
        <w:tabs>
          <w:tab w:val="left" w:pos="2282"/>
        </w:tabs>
        <w:kinsoku/>
        <w:wordWrap/>
        <w:overflowPunct/>
        <w:topLinePunct w:val="0"/>
        <w:autoSpaceDE/>
        <w:autoSpaceDN/>
        <w:bidi w:val="0"/>
        <w:adjustRightInd/>
        <w:snapToGrid/>
        <w:spacing w:line="560" w:lineRule="exact"/>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1.供应商基本情况。包括地理位置、营业面积、企业性质、组织结构等。</w:t>
      </w:r>
    </w:p>
    <w:p w14:paraId="629AEE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2.供应商经营情况。</w:t>
      </w:r>
    </w:p>
    <w:p w14:paraId="4888C2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3.供应商认为有必要说明的问题（如有时）。</w:t>
      </w:r>
    </w:p>
    <w:p w14:paraId="5058A2E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（由供应商按以上要求表述）</w:t>
      </w:r>
    </w:p>
    <w:p w14:paraId="5B38D1A6">
      <w:pPr>
        <w:pageBreakBefore w:val="0"/>
        <w:kinsoku/>
        <w:wordWrap/>
        <w:overflowPunct/>
        <w:topLinePunct w:val="0"/>
        <w:autoSpaceDE/>
        <w:autoSpaceDN/>
        <w:bidi w:val="0"/>
        <w:adjustRightInd/>
        <w:snapToGrid/>
        <w:spacing w:line="560" w:lineRule="exact"/>
        <w:jc w:val="left"/>
        <w:textAlignment w:val="auto"/>
        <w:outlineLvl w:val="9"/>
        <w:rPr>
          <w:rFonts w:hint="eastAsia" w:ascii="宋体" w:hAnsi="宋体"/>
          <w:color w:val="000000"/>
          <w:sz w:val="24"/>
          <w:szCs w:val="24"/>
        </w:rPr>
      </w:pPr>
    </w:p>
    <w:p w14:paraId="0DF2BA30">
      <w:pPr>
        <w:pageBreakBefore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C82F929">
      <w:pPr>
        <w:pageBreakBefore w:val="0"/>
        <w:kinsoku/>
        <w:wordWrap/>
        <w:overflowPunct/>
        <w:topLinePunct w:val="0"/>
        <w:autoSpaceDE/>
        <w:autoSpaceDN/>
        <w:bidi w:val="0"/>
        <w:adjustRightInd/>
        <w:snapToGrid/>
        <w:spacing w:line="560" w:lineRule="exact"/>
        <w:textAlignment w:val="auto"/>
        <w:rPr>
          <w:rFonts w:hint="eastAsia"/>
          <w:sz w:val="24"/>
          <w:szCs w:val="24"/>
        </w:rPr>
      </w:pPr>
    </w:p>
    <w:p w14:paraId="0CF11F26">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p w14:paraId="0905F496">
      <w:pPr>
        <w:pStyle w:val="13"/>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lang w:eastAsia="zh-CN"/>
        </w:rPr>
      </w:pPr>
    </w:p>
    <w:p w14:paraId="69FB293B">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7" w:name="_Toc21847"/>
      <w:r>
        <w:rPr>
          <w:rFonts w:hint="eastAsia"/>
          <w:color w:val="000000"/>
          <w:sz w:val="24"/>
          <w:szCs w:val="24"/>
        </w:rPr>
        <w:t>项目实施方案</w:t>
      </w:r>
      <w:bookmarkEnd w:id="57"/>
    </w:p>
    <w:p w14:paraId="78CCBF28">
      <w:pPr>
        <w:pageBreakBefore w:val="0"/>
        <w:kinsoku/>
        <w:wordWrap/>
        <w:overflowPunct/>
        <w:topLinePunct w:val="0"/>
        <w:autoSpaceDE/>
        <w:autoSpaceDN/>
        <w:bidi w:val="0"/>
        <w:adjustRightInd/>
        <w:snapToGrid/>
        <w:spacing w:line="560" w:lineRule="exact"/>
        <w:ind w:firstLine="480"/>
        <w:textAlignment w:val="auto"/>
        <w:rPr>
          <w:rFonts w:hint="eastAsia"/>
          <w:color w:val="000000"/>
          <w:sz w:val="24"/>
          <w:szCs w:val="24"/>
          <w:u w:val="single"/>
        </w:rPr>
      </w:pPr>
    </w:p>
    <w:p w14:paraId="678CF4BD">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项目实施方案</w:t>
      </w:r>
    </w:p>
    <w:p w14:paraId="51E6B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Segoe UI Emoji" w:hAnsi="Segoe UI Emoji" w:eastAsia="Segoe UI Emoji" w:cs="Segoe UI Emoji"/>
          <w:i w:val="0"/>
          <w:iCs w:val="0"/>
          <w:caps w:val="0"/>
          <w:color w:val="000000"/>
          <w:spacing w:val="0"/>
          <w:sz w:val="24"/>
          <w:szCs w:val="24"/>
        </w:rPr>
      </w:pPr>
      <w:bookmarkStart w:id="58" w:name="_Toc26989"/>
      <w:r>
        <w:rPr>
          <w:rFonts w:ascii="Segoe UI Emoji" w:hAnsi="Segoe UI Emoji" w:eastAsia="Segoe UI Emoji" w:cs="Segoe UI Emoji"/>
          <w:i w:val="0"/>
          <w:iCs w:val="0"/>
          <w:caps w:val="0"/>
          <w:color w:val="000000"/>
          <w:spacing w:val="0"/>
          <w:sz w:val="24"/>
          <w:szCs w:val="24"/>
        </w:rPr>
        <w:t xml:space="preserve">供应商如果一旦中标，应按其在项目实施方案中的承诺安排各阶段工作的实施。包括但不限于： </w:t>
      </w:r>
    </w:p>
    <w:p w14:paraId="4514952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项目实施方案及措施：明确各服务范围（如小型维修、中央空调维护、消防值机、秩序维护、发电机房维护、避雷检测、监控设备维护等）、作业频次（如巡检时段/频次、维保周期）、人员/装备配置（如技工数量、防护装备、检测设备等）、作业流程及服务质量验收标准； </w:t>
      </w:r>
    </w:p>
    <w:p w14:paraId="0BAD9D8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安全运行保障方案及措施：涵盖人员防护（如高空作业防护、电气安全防护）、场所/设施保护（如重点机房防护、作业现场防护）、合规管理（如操作流程符合行业规范）、应急处置（如设备故障、火灾报警响应）及安全责任划分； </w:t>
      </w:r>
    </w:p>
    <w:p w14:paraId="3D0A80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售后服务方案及措施：明确响应时限（如紧急情况响应时长、故障到场时间）、投诉处理、服务质量监督、需求调整（如服务范围调整）及沟通反馈机制； </w:t>
      </w:r>
    </w:p>
    <w:p w14:paraId="71F289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color w:val="000000"/>
          <w:sz w:val="24"/>
          <w:szCs w:val="24"/>
        </w:rPr>
      </w:pPr>
      <w:r>
        <w:rPr>
          <w:rFonts w:ascii="Segoe UI Emoji" w:hAnsi="Segoe UI Emoji" w:eastAsia="Segoe UI Emoji" w:cs="Segoe UI Emoji"/>
          <w:i w:val="0"/>
          <w:iCs w:val="0"/>
          <w:caps w:val="0"/>
          <w:color w:val="000000"/>
          <w:spacing w:val="0"/>
          <w:sz w:val="24"/>
          <w:szCs w:val="24"/>
        </w:rPr>
        <w:t xml:space="preserve">（4）驻场服务方案及措施：确定驻场人员配置、岗位职责（如维修岗、消控岗、秩序维护岗职责）、日常管理（如考勤、交接班流程）、装备维保及与甲方的协调对接流程。 </w:t>
      </w:r>
      <w:bookmarkEnd w:id="58"/>
    </w:p>
    <w:p w14:paraId="569C327C">
      <w:pPr>
        <w:rPr>
          <w:rFonts w:hint="eastAsia" w:ascii="宋体" w:hAnsi="宋体"/>
          <w:b/>
          <w:color w:val="000000"/>
          <w:sz w:val="24"/>
          <w:szCs w:val="24"/>
        </w:rPr>
      </w:pPr>
      <w:r>
        <w:rPr>
          <w:rFonts w:hint="eastAsia" w:ascii="宋体" w:hAnsi="宋体"/>
          <w:b/>
          <w:color w:val="000000"/>
          <w:sz w:val="24"/>
          <w:szCs w:val="24"/>
        </w:rPr>
        <w:br w:type="page"/>
      </w:r>
    </w:p>
    <w:p w14:paraId="6F2AAD64">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r>
        <w:rPr>
          <w:rFonts w:hint="eastAsia" w:ascii="宋体" w:hAnsi="宋体"/>
          <w:b/>
          <w:color w:val="000000"/>
          <w:sz w:val="24"/>
          <w:szCs w:val="24"/>
        </w:rPr>
        <w:t>其它（如有时）</w:t>
      </w:r>
    </w:p>
    <w:p w14:paraId="1341DBD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1E020E2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2AA85403">
      <w:pPr>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b/>
          <w:bCs/>
          <w:color w:val="000000"/>
          <w:sz w:val="24"/>
          <w:szCs w:val="24"/>
        </w:rPr>
      </w:pPr>
      <w:r>
        <w:rPr>
          <w:rFonts w:hint="eastAsia" w:ascii="宋体" w:hAnsi="宋体"/>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D72F18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DEDB90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52A98C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C0EF22F">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3ACD9C1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49ACCA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82BD30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71E8CD1">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50AA580">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527C56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40863BC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6A8441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5DEAA9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DEEAE58">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4EB686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0539CB4">
      <w:pPr>
        <w:rPr>
          <w:rFonts w:hint="eastAsia"/>
          <w:color w:val="000000"/>
          <w:sz w:val="24"/>
          <w:szCs w:val="24"/>
        </w:rPr>
      </w:pPr>
      <w:bookmarkStart w:id="59" w:name="_Toc74"/>
      <w:r>
        <w:rPr>
          <w:rFonts w:hint="eastAsia"/>
          <w:color w:val="000000"/>
          <w:sz w:val="24"/>
          <w:szCs w:val="24"/>
        </w:rPr>
        <w:br w:type="page"/>
      </w:r>
    </w:p>
    <w:p w14:paraId="289D216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t>供应商资格证明文件</w:t>
      </w:r>
      <w:bookmarkEnd w:id="59"/>
    </w:p>
    <w:p w14:paraId="489DF99C">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5038065B">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供应商资格证明文件</w:t>
      </w:r>
    </w:p>
    <w:p w14:paraId="03001D8D">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602A3BBC">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color w:val="000000"/>
          <w:sz w:val="24"/>
          <w:szCs w:val="24"/>
        </w:rPr>
      </w:pPr>
      <w:r>
        <w:rPr>
          <w:rFonts w:hint="eastAsia" w:ascii="宋体" w:hAnsi="宋体"/>
          <w:color w:val="000000"/>
          <w:sz w:val="24"/>
          <w:szCs w:val="24"/>
        </w:rPr>
        <w:t>A．</w:t>
      </w:r>
      <w:r>
        <w:rPr>
          <w:rFonts w:hint="eastAsia" w:ascii="宋体" w:hAnsi="宋体"/>
          <w:sz w:val="24"/>
          <w:szCs w:val="24"/>
        </w:rPr>
        <w:t>有效的企业营业执照副本、税务登记证副本、组织机构代码证副本（三证合一或五证合一的企业只需提供具有统一社会信用代码独立法人的营业执照副本）</w:t>
      </w:r>
      <w:r>
        <w:rPr>
          <w:rFonts w:hint="eastAsia" w:ascii="宋体"/>
          <w:color w:val="000000"/>
          <w:sz w:val="24"/>
          <w:szCs w:val="24"/>
        </w:rPr>
        <w:t>；</w:t>
      </w:r>
    </w:p>
    <w:p w14:paraId="14865F4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B．</w:t>
      </w:r>
      <w:r>
        <w:rPr>
          <w:rFonts w:hint="eastAsia" w:ascii="宋体" w:hAnsi="宋体"/>
          <w:sz w:val="24"/>
          <w:szCs w:val="24"/>
        </w:rPr>
        <w:t>银行开户许可证（或取消开户许可证的须提供基本存款账户银行备案资料）</w:t>
      </w:r>
      <w:r>
        <w:rPr>
          <w:rFonts w:hint="eastAsia" w:ascii="宋体" w:hAnsi="宋体"/>
          <w:color w:val="000000"/>
          <w:sz w:val="24"/>
          <w:szCs w:val="24"/>
        </w:rPr>
        <w:t>；</w:t>
      </w:r>
    </w:p>
    <w:p w14:paraId="355246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C．</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w:t>
      </w:r>
      <w:r>
        <w:rPr>
          <w:rFonts w:hint="eastAsia" w:ascii="宋体"/>
          <w:sz w:val="24"/>
          <w:szCs w:val="24"/>
        </w:rPr>
        <w:t>的依法缴纳税收的证明材料复印件（至少包括增值税和企业所得税，如依法免税的提供相应证明文件复印件、如零缴纳的提供税务部门证明材料复印件）</w:t>
      </w:r>
      <w:r>
        <w:rPr>
          <w:rFonts w:hint="eastAsia" w:ascii="宋体" w:hAnsi="宋体"/>
          <w:color w:val="000000"/>
          <w:sz w:val="24"/>
          <w:szCs w:val="24"/>
        </w:rPr>
        <w:t>；</w:t>
      </w:r>
    </w:p>
    <w:p w14:paraId="3EDF414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D.</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年1月1日至今任意月的依法缴纳社会保障资金的缴纳凭证或证明材料复印件（如依法不需要缴纳社保的，提供相应证明文件复印件）；</w:t>
      </w:r>
    </w:p>
    <w:p w14:paraId="68D723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E．法定代表人身份证明书</w:t>
      </w:r>
      <w:r>
        <w:rPr>
          <w:rFonts w:hint="eastAsia" w:ascii="宋体" w:hAnsi="宋体"/>
          <w:sz w:val="24"/>
          <w:szCs w:val="24"/>
          <w:lang w:bidi="ar"/>
        </w:rPr>
        <w:t>原件</w:t>
      </w:r>
      <w:r>
        <w:rPr>
          <w:rFonts w:hint="eastAsia" w:ascii="宋体" w:hAnsi="宋体"/>
          <w:color w:val="000000"/>
          <w:sz w:val="24"/>
          <w:szCs w:val="24"/>
        </w:rPr>
        <w:t>和</w:t>
      </w:r>
      <w:r>
        <w:rPr>
          <w:rFonts w:hint="eastAsia" w:ascii="宋体" w:hAnsi="宋体"/>
          <w:sz w:val="24"/>
          <w:szCs w:val="24"/>
          <w:lang w:bidi="ar"/>
        </w:rPr>
        <w:t>授权委托书原件（法定代表人参加投标的，不需要提供授权委托书原件）</w:t>
      </w:r>
      <w:r>
        <w:rPr>
          <w:rFonts w:hint="eastAsia" w:ascii="宋体" w:hAnsi="宋体"/>
          <w:color w:val="000000"/>
          <w:kern w:val="18"/>
          <w:sz w:val="24"/>
          <w:szCs w:val="24"/>
        </w:rPr>
        <w:t>；</w:t>
      </w:r>
    </w:p>
    <w:p w14:paraId="42C5F00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F．</w:t>
      </w:r>
      <w:r>
        <w:rPr>
          <w:rFonts w:hint="eastAsia" w:ascii="宋体"/>
          <w:sz w:val="24"/>
          <w:szCs w:val="24"/>
        </w:rPr>
        <w:t>供应商参加本次政府采购活动前3年内无重大违法记录和政府采购严重违法失信行为的书面声明</w:t>
      </w:r>
      <w:r>
        <w:rPr>
          <w:rFonts w:hint="eastAsia" w:ascii="宋体" w:hAnsi="宋体" w:cs="宋体"/>
          <w:color w:val="000000"/>
          <w:sz w:val="24"/>
          <w:szCs w:val="24"/>
          <w:lang w:bidi="ar"/>
        </w:rPr>
        <w:t>；</w:t>
      </w:r>
    </w:p>
    <w:p w14:paraId="1F814D8D">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lang w:bidi="ar"/>
        </w:rPr>
        <w:t>G．</w:t>
      </w:r>
      <w:r>
        <w:rPr>
          <w:rFonts w:hint="eastAsia" w:ascii="宋体"/>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宋体" w:hAnsi="宋体" w:cs="宋体"/>
          <w:color w:val="000000"/>
          <w:sz w:val="24"/>
          <w:szCs w:val="24"/>
          <w:lang w:bidi="ar"/>
        </w:rPr>
        <w:t>）。</w:t>
      </w:r>
    </w:p>
    <w:p w14:paraId="287A74DD">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p>
    <w:p w14:paraId="5C5D8229">
      <w:pPr>
        <w:pageBreakBefore w:val="0"/>
        <w:kinsoku/>
        <w:wordWrap/>
        <w:overflowPunct/>
        <w:topLinePunct w:val="0"/>
        <w:autoSpaceDE/>
        <w:autoSpaceDN/>
        <w:bidi w:val="0"/>
        <w:adjustRightInd/>
        <w:snapToGrid/>
        <w:spacing w:line="560" w:lineRule="exact"/>
        <w:jc w:val="both"/>
        <w:textAlignment w:val="auto"/>
        <w:outlineLvl w:val="9"/>
        <w:rPr>
          <w:rFonts w:hint="eastAsia"/>
        </w:rPr>
      </w:pPr>
    </w:p>
    <w:p w14:paraId="0B5B1931">
      <w:pPr>
        <w:pageBreakBefore w:val="0"/>
        <w:kinsoku/>
        <w:wordWrap/>
        <w:overflowPunct/>
        <w:topLinePunct w:val="0"/>
        <w:autoSpaceDE/>
        <w:autoSpaceDN/>
        <w:bidi w:val="0"/>
        <w:adjustRightInd/>
        <w:snapToGrid/>
        <w:spacing w:line="560" w:lineRule="exact"/>
        <w:textAlignment w:val="auto"/>
        <w:rPr>
          <w:rFonts w:hint="eastAsia"/>
        </w:rPr>
      </w:pPr>
    </w:p>
    <w:p w14:paraId="68A78B60">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60" w:name="_Toc321044655"/>
      <w:bookmarkStart w:id="61" w:name="_Toc4839"/>
      <w:r>
        <w:rPr>
          <w:rFonts w:hint="eastAsia"/>
          <w:color w:val="000000"/>
          <w:sz w:val="24"/>
          <w:szCs w:val="24"/>
        </w:rPr>
        <w:t>法定代表人身份证明书格式</w:t>
      </w:r>
      <w:bookmarkEnd w:id="60"/>
      <w:bookmarkEnd w:id="61"/>
    </w:p>
    <w:p w14:paraId="2D27E9C6">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szCs w:val="24"/>
        </w:rPr>
      </w:pPr>
    </w:p>
    <w:p w14:paraId="58DE5F46">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24"/>
          <w:szCs w:val="24"/>
        </w:rPr>
      </w:pPr>
      <w:r>
        <w:rPr>
          <w:rFonts w:hint="eastAsia" w:ascii="宋体" w:hAnsi="宋体"/>
          <w:b/>
          <w:color w:val="000000"/>
          <w:sz w:val="24"/>
          <w:szCs w:val="24"/>
        </w:rPr>
        <w:t>法定代表人身份证明书</w:t>
      </w:r>
    </w:p>
    <w:p w14:paraId="2A00DBBC">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24"/>
          <w:szCs w:val="24"/>
        </w:rPr>
      </w:pPr>
    </w:p>
    <w:p w14:paraId="5E0C521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3F5EF693">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szCs w:val="24"/>
        </w:rPr>
      </w:pP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w:t>
      </w:r>
      <w:r>
        <w:rPr>
          <w:rFonts w:hint="eastAsia" w:ascii="宋体" w:hAnsi="宋体"/>
          <w:color w:val="000000"/>
          <w:sz w:val="24"/>
          <w:szCs w:val="24"/>
        </w:rPr>
        <w:t>，在我单位任职务，是我单位的法定代表人。</w:t>
      </w:r>
    </w:p>
    <w:p w14:paraId="4C232AF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特此证明</w:t>
      </w:r>
    </w:p>
    <w:p w14:paraId="49D8C01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37327F4E">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身份证号码：</w:t>
      </w:r>
    </w:p>
    <w:p w14:paraId="2B6A3D14">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043BEBD5">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p w14:paraId="082E91D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p w14:paraId="0188CAD9">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5F9F4B1E">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r>
              <w:rPr>
                <w:rFonts w:hint="eastAsia" w:ascii="宋体" w:hAnsi="宋体" w:eastAsia="宋体" w:cs="宋体"/>
                <w:bCs/>
                <w:kern w:val="0"/>
                <w:sz w:val="24"/>
                <w:szCs w:val="24"/>
                <w:lang w:bidi="ar"/>
              </w:rPr>
              <w:t>二代身份证，须同时提供正、反两面复印件</w:t>
            </w:r>
          </w:p>
          <w:p w14:paraId="1D8238F5">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757E1DBF">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45E2D693">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tc>
      </w:tr>
    </w:tbl>
    <w:p w14:paraId="1743B62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8333B32">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供应商全称（公章）：</w:t>
      </w:r>
    </w:p>
    <w:p w14:paraId="34BA4465">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p>
    <w:p w14:paraId="04C33961">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法定代表人（签字）：</w:t>
      </w:r>
    </w:p>
    <w:p w14:paraId="7F797E5B">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p>
    <w:p w14:paraId="2EBFCEE1">
      <w:pPr>
        <w:pageBreakBefore w:val="0"/>
        <w:tabs>
          <w:tab w:val="left" w:pos="5760"/>
        </w:tabs>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color w:val="000000"/>
          <w:sz w:val="24"/>
          <w:szCs w:val="24"/>
        </w:rPr>
      </w:pPr>
      <w:r>
        <w:rPr>
          <w:rFonts w:hint="eastAsia" w:ascii="宋体" w:hAnsi="宋体"/>
          <w:color w:val="000000"/>
          <w:sz w:val="24"/>
          <w:szCs w:val="24"/>
        </w:rPr>
        <w:t>年月日</w:t>
      </w:r>
    </w:p>
    <w:p w14:paraId="7721ED73">
      <w:pPr>
        <w:pageBreakBefore w:val="0"/>
        <w:kinsoku/>
        <w:wordWrap/>
        <w:overflowPunct/>
        <w:topLinePunct w:val="0"/>
        <w:autoSpaceDE/>
        <w:autoSpaceDN/>
        <w:bidi w:val="0"/>
        <w:adjustRightInd/>
        <w:snapToGrid/>
        <w:spacing w:line="560" w:lineRule="exact"/>
        <w:textAlignment w:val="auto"/>
        <w:rPr>
          <w:rFonts w:hint="eastAsia"/>
          <w:color w:val="000000"/>
        </w:rPr>
      </w:pPr>
      <w:bookmarkStart w:id="62" w:name="_Toc321044656"/>
      <w:bookmarkStart w:id="63" w:name="_Toc27978"/>
    </w:p>
    <w:p w14:paraId="108DB3B0">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t>法定代表人授权委托书格式</w:t>
      </w:r>
      <w:bookmarkEnd w:id="62"/>
      <w:bookmarkEnd w:id="63"/>
    </w:p>
    <w:p w14:paraId="68FF1C43">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p>
    <w:p w14:paraId="613A6795">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法定代表人授权委托书</w:t>
      </w:r>
    </w:p>
    <w:p w14:paraId="070B9FE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F11C3F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项目</w:t>
      </w:r>
      <w:r>
        <w:rPr>
          <w:rFonts w:hint="eastAsia" w:asciiTheme="minorEastAsia" w:hAnsiTheme="minorEastAsia" w:eastAsiaTheme="minorEastAsia" w:cstheme="minorEastAsia"/>
          <w:color w:val="000000"/>
          <w:sz w:val="24"/>
          <w:szCs w:val="24"/>
        </w:rPr>
        <w:t>询比采购文件（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1716E07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代理期限从年月日至年月日止</w:t>
      </w:r>
    </w:p>
    <w:p w14:paraId="454C252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附投标代理人情况：</w:t>
      </w:r>
    </w:p>
    <w:p w14:paraId="20FCB8E8">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姓名：性别年龄：职务：</w:t>
      </w:r>
    </w:p>
    <w:p w14:paraId="4B5BE555">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详细通讯址：</w:t>
      </w:r>
    </w:p>
    <w:p w14:paraId="134C7C91">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电话：传真：</w:t>
      </w:r>
    </w:p>
    <w:p w14:paraId="483A2623">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邮政编码：</w:t>
      </w:r>
    </w:p>
    <w:p w14:paraId="60315600">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身份证号码：</w:t>
      </w:r>
    </w:p>
    <w:p w14:paraId="7EE0BDE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u w:val="singl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04FC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800" w:type="dxa"/>
            <w:tcBorders>
              <w:top w:val="single" w:color="auto" w:sz="4" w:space="0"/>
              <w:left w:val="single" w:color="auto" w:sz="4" w:space="0"/>
              <w:bottom w:val="single" w:color="auto" w:sz="4" w:space="0"/>
              <w:right w:val="single" w:color="auto" w:sz="4" w:space="0"/>
            </w:tcBorders>
            <w:noWrap w:val="0"/>
            <w:vAlign w:val="center"/>
          </w:tcPr>
          <w:p w14:paraId="3885E2DB">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5819231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tc>
      </w:tr>
    </w:tbl>
    <w:p w14:paraId="50B6243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供应商全称（公章）：</w:t>
      </w:r>
    </w:p>
    <w:p w14:paraId="55AA405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B5CC08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法定代表人（签字）：</w:t>
      </w:r>
    </w:p>
    <w:p w14:paraId="2748BFD5">
      <w:pPr>
        <w:pageBreakBefore w:val="0"/>
        <w:tabs>
          <w:tab w:val="left" w:pos="5760"/>
        </w:tabs>
        <w:kinsoku/>
        <w:wordWrap/>
        <w:overflowPunct/>
        <w:topLinePunct w:val="0"/>
        <w:autoSpaceDE/>
        <w:autoSpaceDN/>
        <w:bidi w:val="0"/>
        <w:adjustRightInd/>
        <w:snapToGrid/>
        <w:spacing w:line="560" w:lineRule="exact"/>
        <w:ind w:firstLine="6360" w:firstLineChars="2650"/>
        <w:jc w:val="left"/>
        <w:textAlignment w:val="auto"/>
        <w:rPr>
          <w:rFonts w:hint="eastAsia" w:ascii="宋体" w:hAnsi="宋体"/>
          <w:color w:val="000000"/>
          <w:sz w:val="24"/>
          <w:szCs w:val="24"/>
        </w:rPr>
      </w:pPr>
      <w:r>
        <w:rPr>
          <w:rFonts w:hint="eastAsia" w:ascii="宋体" w:hAnsi="宋体"/>
          <w:color w:val="000000"/>
          <w:sz w:val="24"/>
          <w:szCs w:val="24"/>
        </w:rPr>
        <w:t>年月日</w:t>
      </w:r>
    </w:p>
    <w:p w14:paraId="63E6EDAA">
      <w:pPr>
        <w:pageBreakBefore w:val="0"/>
        <w:kinsoku/>
        <w:wordWrap/>
        <w:overflowPunct/>
        <w:topLinePunct w:val="0"/>
        <w:autoSpaceDE/>
        <w:autoSpaceDN/>
        <w:bidi w:val="0"/>
        <w:adjustRightInd/>
        <w:snapToGrid/>
        <w:spacing w:line="560" w:lineRule="exact"/>
        <w:textAlignment w:val="auto"/>
        <w:rPr>
          <w:color w:val="000000"/>
          <w:sz w:val="24"/>
          <w:szCs w:val="24"/>
        </w:rPr>
      </w:pPr>
      <w:bookmarkStart w:id="64" w:name="_Toc428538928"/>
      <w:bookmarkStart w:id="65" w:name="_Toc2378"/>
    </w:p>
    <w:p w14:paraId="5D4A0CB9">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4"/>
      <w:bookmarkEnd w:id="65"/>
    </w:p>
    <w:p w14:paraId="7ADBC10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9D19C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67A7F9A2">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90011F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7FADAE59">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31DF0DB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6235CF3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76A396DF">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A4FF136">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4F4A819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2F107BFE">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2EE7ED5D">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0F8327E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2D57BD2B">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3F4F8B79">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法定代表人或其授权委托人（签字）：</w:t>
      </w:r>
    </w:p>
    <w:p w14:paraId="58855E0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rPr>
        <w:t>年月日</w:t>
      </w:r>
    </w:p>
    <w:p w14:paraId="6B1BEE91">
      <w:pPr>
        <w:rPr>
          <w:rFonts w:hint="eastAsia"/>
          <w:color w:val="000000"/>
        </w:rPr>
      </w:pPr>
      <w:bookmarkStart w:id="66" w:name="_Toc3451"/>
      <w:r>
        <w:rPr>
          <w:rFonts w:hint="eastAsia"/>
          <w:color w:val="000000"/>
        </w:rPr>
        <w:br w:type="page"/>
      </w:r>
    </w:p>
    <w:bookmarkEnd w:id="42"/>
    <w:bookmarkEnd w:id="43"/>
    <w:bookmarkEnd w:id="44"/>
    <w:bookmarkEnd w:id="45"/>
    <w:bookmarkEnd w:id="66"/>
    <w:p w14:paraId="46E0B0CE">
      <w:pPr>
        <w:pageBreakBefore w:val="0"/>
        <w:kinsoku/>
        <w:wordWrap/>
        <w:overflowPunct/>
        <w:topLinePunct w:val="0"/>
        <w:bidi w:val="0"/>
        <w:spacing w:line="560" w:lineRule="exact"/>
        <w:textAlignment w:val="auto"/>
        <w:outlineLvl w:val="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附录：质疑书格式</w:t>
      </w:r>
    </w:p>
    <w:p w14:paraId="07976C4D">
      <w:pPr>
        <w:pageBreakBefore w:val="0"/>
        <w:widowControl/>
        <w:kinsoku/>
        <w:wordWrap/>
        <w:overflowPunct/>
        <w:topLinePunct w:val="0"/>
        <w:bidi w:val="0"/>
        <w:spacing w:line="560" w:lineRule="exact"/>
        <w:ind w:left="12" w:leftChars="-1" w:hanging="14" w:hangingChars="6"/>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质疑书</w:t>
      </w:r>
    </w:p>
    <w:p w14:paraId="09C34DF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4A04FBD3">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r>
        <w:rPr>
          <w:rFonts w:hint="eastAsia" w:asciiTheme="minorEastAsia" w:hAnsiTheme="minorEastAsia" w:eastAsiaTheme="minorEastAsia" w:cstheme="minorEastAsia"/>
          <w:kern w:val="0"/>
          <w:sz w:val="24"/>
          <w:szCs w:val="24"/>
          <w:u w:val="single"/>
          <w:lang w:val="en-US" w:eastAsia="zh-CN" w:bidi="ar"/>
        </w:rPr>
        <w:t xml:space="preserve">            </w:t>
      </w:r>
    </w:p>
    <w:p w14:paraId="69A2649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39FDB7E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3FC6CA3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r>
        <w:rPr>
          <w:rFonts w:hint="eastAsia" w:asciiTheme="minorEastAsia" w:hAnsiTheme="minorEastAsia" w:eastAsiaTheme="minorEastAsia" w:cstheme="minorEastAsia"/>
          <w:kern w:val="0"/>
          <w:sz w:val="24"/>
          <w:szCs w:val="24"/>
          <w:u w:val="single"/>
          <w:lang w:val="en-US" w:eastAsia="zh-CN" w:bidi="ar"/>
        </w:rPr>
        <w:t xml:space="preserve">            </w:t>
      </w:r>
    </w:p>
    <w:p w14:paraId="27498D5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5650BF0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5309541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61C58D8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r>
        <w:rPr>
          <w:rFonts w:hint="eastAsia" w:asciiTheme="minorEastAsia" w:hAnsiTheme="minorEastAsia" w:eastAsiaTheme="minorEastAsia" w:cstheme="minorEastAsia"/>
          <w:kern w:val="0"/>
          <w:sz w:val="24"/>
          <w:szCs w:val="24"/>
          <w:u w:val="single"/>
          <w:lang w:eastAsia="zh-CN" w:bidi="ar"/>
        </w:rPr>
        <w:t xml:space="preserve">            </w:t>
      </w:r>
    </w:p>
    <w:p w14:paraId="55D4251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r>
        <w:rPr>
          <w:rFonts w:hint="eastAsia" w:asciiTheme="minorEastAsia" w:hAnsiTheme="minorEastAsia" w:eastAsiaTheme="minorEastAsia" w:cstheme="minorEastAsia"/>
          <w:kern w:val="0"/>
          <w:sz w:val="24"/>
          <w:szCs w:val="24"/>
          <w:u w:val="single"/>
          <w:lang w:val="en-US" w:eastAsia="zh-CN" w:bidi="ar"/>
        </w:rPr>
        <w:t xml:space="preserve">            </w:t>
      </w:r>
    </w:p>
    <w:p w14:paraId="579F496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r>
        <w:rPr>
          <w:rFonts w:hint="eastAsia" w:asciiTheme="minorEastAsia" w:hAnsiTheme="minorEastAsia" w:eastAsiaTheme="minorEastAsia" w:cstheme="minorEastAsia"/>
          <w:kern w:val="0"/>
          <w:sz w:val="24"/>
          <w:szCs w:val="24"/>
          <w:u w:val="single"/>
          <w:lang w:val="en-US" w:eastAsia="zh-CN" w:bidi="ar"/>
        </w:rPr>
        <w:t xml:space="preserve">            </w:t>
      </w:r>
    </w:p>
    <w:p w14:paraId="5697941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r>
        <w:rPr>
          <w:rFonts w:hint="eastAsia" w:asciiTheme="minorEastAsia" w:hAnsiTheme="minorEastAsia" w:eastAsiaTheme="minorEastAsia" w:cstheme="minorEastAsia"/>
          <w:kern w:val="0"/>
          <w:sz w:val="24"/>
          <w:szCs w:val="24"/>
          <w:u w:val="single"/>
          <w:lang w:val="en-US" w:eastAsia="zh-CN" w:bidi="ar"/>
        </w:rPr>
        <w:t xml:space="preserve">            </w:t>
      </w:r>
    </w:p>
    <w:p w14:paraId="6F65E2F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0D3DA8F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r>
        <w:rPr>
          <w:rFonts w:hint="eastAsia" w:asciiTheme="minorEastAsia" w:hAnsiTheme="minorEastAsia" w:eastAsiaTheme="minorEastAsia" w:cstheme="minorEastAsia"/>
          <w:kern w:val="0"/>
          <w:sz w:val="24"/>
          <w:szCs w:val="24"/>
          <w:u w:val="single"/>
          <w:lang w:val="en-US" w:eastAsia="zh-CN" w:bidi="ar"/>
        </w:rPr>
        <w:t xml:space="preserve">            </w:t>
      </w:r>
    </w:p>
    <w:p w14:paraId="33F3512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r>
        <w:rPr>
          <w:rFonts w:hint="eastAsia" w:asciiTheme="minorEastAsia" w:hAnsiTheme="minorEastAsia" w:eastAsiaTheme="minorEastAsia" w:cstheme="minorEastAsia"/>
          <w:kern w:val="0"/>
          <w:sz w:val="24"/>
          <w:szCs w:val="24"/>
          <w:u w:val="single"/>
          <w:lang w:val="en-US" w:eastAsia="zh-CN" w:bidi="ar"/>
        </w:rPr>
        <w:t xml:space="preserve">            </w:t>
      </w:r>
    </w:p>
    <w:p w14:paraId="492322A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r>
        <w:rPr>
          <w:rFonts w:hint="eastAsia" w:asciiTheme="minorEastAsia" w:hAnsiTheme="minorEastAsia" w:eastAsiaTheme="minorEastAsia" w:cstheme="minorEastAsia"/>
          <w:kern w:val="0"/>
          <w:sz w:val="24"/>
          <w:szCs w:val="24"/>
          <w:u w:val="single"/>
          <w:lang w:val="en-US" w:eastAsia="zh-CN" w:bidi="ar"/>
        </w:rPr>
        <w:t xml:space="preserve">            </w:t>
      </w:r>
    </w:p>
    <w:p w14:paraId="3389DBE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4EF208F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3A8C0B0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745EB02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r>
        <w:rPr>
          <w:rFonts w:hint="eastAsia" w:asciiTheme="minorEastAsia" w:hAnsiTheme="minorEastAsia" w:eastAsiaTheme="minorEastAsia" w:cstheme="minorEastAsia"/>
          <w:kern w:val="0"/>
          <w:sz w:val="24"/>
          <w:szCs w:val="24"/>
          <w:u w:val="single"/>
          <w:lang w:val="en-US" w:eastAsia="zh-CN" w:bidi="ar"/>
        </w:rPr>
        <w:t xml:space="preserve">            </w:t>
      </w:r>
    </w:p>
    <w:p w14:paraId="0CA76DA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r>
        <w:rPr>
          <w:rFonts w:hint="eastAsia" w:asciiTheme="minorEastAsia" w:hAnsiTheme="minorEastAsia" w:eastAsiaTheme="minorEastAsia" w:cstheme="minorEastAsia"/>
          <w:kern w:val="0"/>
          <w:sz w:val="24"/>
          <w:szCs w:val="24"/>
          <w:u w:val="single"/>
          <w:lang w:val="en-US" w:eastAsia="zh-CN" w:bidi="ar"/>
        </w:rPr>
        <w:t xml:space="preserve">            </w:t>
      </w:r>
    </w:p>
    <w:p w14:paraId="232A38EB">
      <w:pPr>
        <w:pageBreakBefore w:val="0"/>
        <w:widowControl/>
        <w:kinsoku/>
        <w:wordWrap/>
        <w:overflowPunct/>
        <w:topLinePunct w:val="0"/>
        <w:bidi w:val="0"/>
        <w:spacing w:line="560" w:lineRule="exact"/>
        <w:ind w:firstLine="470" w:firstLineChars="196"/>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t>日期：</w:t>
      </w:r>
    </w:p>
    <w:p w14:paraId="67B8279F">
      <w:pPr>
        <w:pageBreakBefore w:val="0"/>
        <w:widowControl/>
        <w:kinsoku/>
        <w:wordWrap/>
        <w:overflowPunct/>
        <w:topLinePunct w:val="0"/>
        <w:bidi w:val="0"/>
        <w:spacing w:line="560" w:lineRule="exact"/>
        <w:ind w:firstLine="470" w:firstLineChars="196"/>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质疑函制作说明：</w:t>
      </w:r>
    </w:p>
    <w:p w14:paraId="6BB6E8B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1.投标人提出质疑时，应提交质疑函和必要的证明材料。</w:t>
      </w:r>
    </w:p>
    <w:p w14:paraId="506F8AF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36999F7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3.质疑投标人若对项目的某一分包进行质疑，质疑函中应列明具体分包号。</w:t>
      </w:r>
    </w:p>
    <w:p w14:paraId="37C8A83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4.质疑函的质疑事项应具体、明确，并有必要的事实依据和法律依据。</w:t>
      </w:r>
    </w:p>
    <w:p w14:paraId="5854BE1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5.质疑函的质疑请求应与质疑事项相关。</w:t>
      </w:r>
    </w:p>
    <w:p w14:paraId="4E8593A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6.质疑投标人为自然人的，质疑函应由本人签字；质疑投标人为法人或者其他组织的，质疑函应由法定代表人、主要负责人，或者其授权代表签字或者盖章，并加盖公章。</w:t>
      </w:r>
    </w:p>
    <w:p w14:paraId="4C683D6C">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019E4E9E">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2E5BB6D9">
      <w:pPr>
        <w:pStyle w:val="14"/>
        <w:ind w:left="0" w:leftChars="0" w:firstLine="0" w:firstLineChars="0"/>
        <w:rPr>
          <w:rFonts w:hint="eastAsia"/>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1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D14E"/>
    <w:multiLevelType w:val="singleLevel"/>
    <w:tmpl w:val="A71DD14E"/>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1885C70"/>
    <w:rsid w:val="029E162E"/>
    <w:rsid w:val="03C736FA"/>
    <w:rsid w:val="04782CF0"/>
    <w:rsid w:val="052027CE"/>
    <w:rsid w:val="05AF5900"/>
    <w:rsid w:val="0B136931"/>
    <w:rsid w:val="0C1B3CF0"/>
    <w:rsid w:val="0CD768E7"/>
    <w:rsid w:val="110030B4"/>
    <w:rsid w:val="116033AA"/>
    <w:rsid w:val="132A1E25"/>
    <w:rsid w:val="143E28D8"/>
    <w:rsid w:val="16107591"/>
    <w:rsid w:val="163B51D6"/>
    <w:rsid w:val="172C5003"/>
    <w:rsid w:val="17A96653"/>
    <w:rsid w:val="1A7B1DFD"/>
    <w:rsid w:val="1D9B6A3E"/>
    <w:rsid w:val="1DC3609F"/>
    <w:rsid w:val="1DC835AB"/>
    <w:rsid w:val="1E1E141D"/>
    <w:rsid w:val="207672EF"/>
    <w:rsid w:val="22F72C30"/>
    <w:rsid w:val="26FE003E"/>
    <w:rsid w:val="27FC7598"/>
    <w:rsid w:val="29AB625B"/>
    <w:rsid w:val="2E8C5FB6"/>
    <w:rsid w:val="2EC855A2"/>
    <w:rsid w:val="2FD302BA"/>
    <w:rsid w:val="31CC3212"/>
    <w:rsid w:val="32B5039B"/>
    <w:rsid w:val="3344327C"/>
    <w:rsid w:val="34525509"/>
    <w:rsid w:val="35FA1818"/>
    <w:rsid w:val="377753EA"/>
    <w:rsid w:val="37D416A4"/>
    <w:rsid w:val="3859162A"/>
    <w:rsid w:val="38FB0050"/>
    <w:rsid w:val="3A32781E"/>
    <w:rsid w:val="3BA7084C"/>
    <w:rsid w:val="3CBF4230"/>
    <w:rsid w:val="3DE418E4"/>
    <w:rsid w:val="3E1877DF"/>
    <w:rsid w:val="3EDB2CE7"/>
    <w:rsid w:val="3FA4757D"/>
    <w:rsid w:val="400E0E9A"/>
    <w:rsid w:val="42666D6B"/>
    <w:rsid w:val="42BE177B"/>
    <w:rsid w:val="4464552C"/>
    <w:rsid w:val="460E39A2"/>
    <w:rsid w:val="46A75BA4"/>
    <w:rsid w:val="4723347D"/>
    <w:rsid w:val="49AC7F51"/>
    <w:rsid w:val="4AAD3720"/>
    <w:rsid w:val="4E801F14"/>
    <w:rsid w:val="4E872543"/>
    <w:rsid w:val="5088217D"/>
    <w:rsid w:val="565F3DA6"/>
    <w:rsid w:val="5710310F"/>
    <w:rsid w:val="57DD2B28"/>
    <w:rsid w:val="59883613"/>
    <w:rsid w:val="5AA91A93"/>
    <w:rsid w:val="5E960581"/>
    <w:rsid w:val="5EDD7F5D"/>
    <w:rsid w:val="604846B8"/>
    <w:rsid w:val="62FB4E56"/>
    <w:rsid w:val="637864A7"/>
    <w:rsid w:val="63E37DC4"/>
    <w:rsid w:val="64035727"/>
    <w:rsid w:val="641E704E"/>
    <w:rsid w:val="69072618"/>
    <w:rsid w:val="693F340F"/>
    <w:rsid w:val="6CA41B43"/>
    <w:rsid w:val="6F8E4E37"/>
    <w:rsid w:val="733046A8"/>
    <w:rsid w:val="74C723A3"/>
    <w:rsid w:val="763A272E"/>
    <w:rsid w:val="79E07D62"/>
    <w:rsid w:val="7CE9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Body Text"/>
    <w:basedOn w:val="1"/>
    <w:qFormat/>
    <w:uiPriority w:val="0"/>
    <w:pPr>
      <w:tabs>
        <w:tab w:val="left" w:pos="562"/>
        <w:tab w:val="left" w:pos="3372"/>
        <w:tab w:val="left" w:pos="3653"/>
      </w:tabs>
    </w:pPr>
    <w:rPr>
      <w:sz w:val="24"/>
    </w:rPr>
  </w:style>
  <w:style w:type="paragraph" w:styleId="7">
    <w:name w:val="Body Text Indent"/>
    <w:basedOn w:val="1"/>
    <w:next w:val="8"/>
    <w:qFormat/>
    <w:uiPriority w:val="0"/>
    <w:pPr>
      <w:ind w:firstLine="645"/>
    </w:pPr>
    <w:rPr>
      <w:rFonts w:ascii="楷体_GB2312" w:eastAsia="楷体_GB2312"/>
      <w:sz w:val="32"/>
      <w:szCs w:val="20"/>
    </w:r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39"/>
    <w:pPr>
      <w:tabs>
        <w:tab w:val="right" w:leader="middleDot" w:pos="8460"/>
      </w:tabs>
      <w:spacing w:line="360" w:lineRule="exact"/>
    </w:pPr>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qFormat/>
    <w:uiPriority w:val="0"/>
    <w:pPr>
      <w:spacing w:after="120" w:afterLines="0"/>
      <w:ind w:firstLine="420" w:firstLineChars="100"/>
    </w:pPr>
    <w:rPr>
      <w:sz w:val="21"/>
    </w:rPr>
  </w:style>
  <w:style w:type="paragraph" w:styleId="14">
    <w:name w:val="Body Text First Indent 2"/>
    <w:basedOn w:val="7"/>
    <w:next w:val="1"/>
    <w:qFormat/>
    <w:uiPriority w:val="0"/>
    <w:pPr>
      <w:ind w:firstLine="420" w:firstLineChars="200"/>
    </w:pPr>
  </w:style>
  <w:style w:type="paragraph" w:customStyle="1" w:styleId="17">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8">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20">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1">
    <w:name w:val="仿宋三号正文"/>
    <w:basedOn w:val="1"/>
    <w:qFormat/>
    <w:uiPriority w:val="0"/>
    <w:pPr>
      <w:widowControl/>
      <w:jc w:val="left"/>
    </w:pPr>
    <w:rPr>
      <w:rFonts w:hint="eastAsia" w:ascii="仿宋" w:hAnsi="仿宋" w:cs="仿宋"/>
      <w:kern w:val="0"/>
      <w:szCs w:val="32"/>
      <w:lang w:bidi="ar"/>
    </w:rPr>
  </w:style>
  <w:style w:type="paragraph" w:customStyle="1" w:styleId="22">
    <w:name w:val="（符号）三标题1.1"/>
    <w:basedOn w:val="1"/>
    <w:qFormat/>
    <w:uiPriority w:val="0"/>
    <w:pPr>
      <w:numPr>
        <w:ilvl w:val="1"/>
        <w:numId w:val="1"/>
      </w:numPr>
      <w:spacing w:line="500" w:lineRule="exact"/>
    </w:pPr>
    <w:rPr>
      <w:rFonts w:ascii="宋体" w:hAnsi="宋体"/>
      <w:sz w:val="24"/>
    </w:rPr>
  </w:style>
  <w:style w:type="paragraph" w:customStyle="1" w:styleId="23">
    <w:name w:val="Table Paragraph"/>
    <w:basedOn w:val="1"/>
    <w:qFormat/>
    <w:uiPriority w:val="1"/>
    <w:rPr>
      <w:rFonts w:ascii="宋体" w:hAnsi="宋体" w:eastAsia="宋体" w:cs="宋体"/>
      <w:lang w:val="en-US" w:eastAsia="zh-CN" w:bidi="ar-SA"/>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3017</Words>
  <Characters>3128</Characters>
  <Lines>0</Lines>
  <Paragraphs>0</Paragraphs>
  <TotalTime>5</TotalTime>
  <ScaleCrop>false</ScaleCrop>
  <LinksUpToDate>false</LinksUpToDate>
  <CharactersWithSpaces>3143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dcterms:modified xsi:type="dcterms:W3CDTF">2026-01-23T02:23:01Z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E93525E4A36046A88106FBAC56908856_13</vt:lpwstr>
  </property>
  <property fmtid="{D5CDD505-2E9C-101B-9397-08002B2CF9AE}" pid="4" name="KSOTemplateDocerSaveRecord">
    <vt:lpwstr>eyJoZGlkIjoiZGQ3OTEwODkzYmMyZmRjODJlNDY3YzQyYzdmMTYyZjAiLCJ1c2VySWQiOiIzNDY3NDYyNDkifQ==</vt:lpwstr>
  </property>
</Properties>
</file>